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3C130" w14:textId="0E642810" w:rsidR="00832324" w:rsidRDefault="003262F0" w:rsidP="00F73113">
      <w:pPr>
        <w:pStyle w:val="Title"/>
      </w:pPr>
      <w:r>
        <w:t xml:space="preserve">Nusinersen for spinal muscular </w:t>
      </w:r>
      <w:r w:rsidR="00F15BE2">
        <w:t>atrophy in adults: utilisation analysis</w:t>
      </w:r>
    </w:p>
    <w:p w14:paraId="68F00614" w14:textId="799F8740" w:rsidR="00736041" w:rsidRDefault="009053D3" w:rsidP="00F73113">
      <w:pPr>
        <w:pStyle w:val="Title2"/>
      </w:pPr>
      <w:r>
        <w:t>D</w:t>
      </w:r>
      <w:r w:rsidR="00832324" w:rsidRPr="0063631C">
        <w:t xml:space="preserve">rug utilisation sub-committee </w:t>
      </w:r>
      <w:r w:rsidR="00832324">
        <w:t>(DUSC)</w:t>
      </w:r>
    </w:p>
    <w:p w14:paraId="78148839" w14:textId="59FBFB30" w:rsidR="009053D3" w:rsidRPr="00F73113" w:rsidRDefault="009471FB" w:rsidP="00F73113">
      <w:pPr>
        <w:pStyle w:val="Meetingdate"/>
      </w:pPr>
      <w:r>
        <w:t>June 2025</w:t>
      </w:r>
    </w:p>
    <w:p w14:paraId="1494B8AD" w14:textId="77777777" w:rsidR="005C6661" w:rsidRPr="00CF5E22" w:rsidRDefault="005C6661" w:rsidP="00CF5E22">
      <w:pPr>
        <w:pStyle w:val="Heading2"/>
      </w:pPr>
      <w:r w:rsidRPr="00CF5E22">
        <w:t>Abstract</w:t>
      </w:r>
    </w:p>
    <w:p w14:paraId="287D7939" w14:textId="77777777" w:rsidR="005C6661" w:rsidRPr="00CF5E22" w:rsidRDefault="005C6661" w:rsidP="00CF5E22">
      <w:pPr>
        <w:pStyle w:val="Heading3"/>
      </w:pPr>
      <w:r w:rsidRPr="00CF5E22">
        <w:t>Purpose</w:t>
      </w:r>
    </w:p>
    <w:p w14:paraId="0578DAAA" w14:textId="7E159DB5" w:rsidR="006C06D4" w:rsidRDefault="006C06D4" w:rsidP="006C06D4">
      <w:r>
        <w:t xml:space="preserve">To review the utilisation of </w:t>
      </w:r>
      <w:r w:rsidR="0094293F">
        <w:t>n</w:t>
      </w:r>
      <w:r>
        <w:t xml:space="preserve">usinersen for spinal </w:t>
      </w:r>
      <w:r w:rsidR="00450C66">
        <w:t>muscular</w:t>
      </w:r>
      <w:r w:rsidR="0094293F">
        <w:t xml:space="preserve"> atrophy</w:t>
      </w:r>
      <w:r w:rsidR="00FD7FA6">
        <w:t xml:space="preserve"> (SMA)</w:t>
      </w:r>
      <w:r w:rsidR="0094293F">
        <w:t xml:space="preserve"> in adult patients as requested by the PBAC at its March 2022 meeting. </w:t>
      </w:r>
    </w:p>
    <w:p w14:paraId="03538E7F" w14:textId="322BB850" w:rsidR="002D144A" w:rsidRDefault="002D144A" w:rsidP="00CF5E22">
      <w:pPr>
        <w:pStyle w:val="Heading3"/>
      </w:pPr>
      <w:r>
        <w:t>Date of listing on the P</w:t>
      </w:r>
      <w:r w:rsidR="00A95FA5">
        <w:t xml:space="preserve">harmaceutical </w:t>
      </w:r>
      <w:r>
        <w:t>B</w:t>
      </w:r>
      <w:r w:rsidR="00A95FA5">
        <w:t xml:space="preserve">enefits </w:t>
      </w:r>
      <w:r>
        <w:t>S</w:t>
      </w:r>
      <w:r w:rsidR="00A95FA5">
        <w:t>cheme (PBS)</w:t>
      </w:r>
    </w:p>
    <w:p w14:paraId="1AE84650" w14:textId="6AF5E321" w:rsidR="00B433ED" w:rsidRPr="002D144A" w:rsidRDefault="00B433ED" w:rsidP="002D144A">
      <w:r w:rsidRPr="00B433ED">
        <w:t xml:space="preserve">Nusinersen was PBS listed </w:t>
      </w:r>
      <w:r w:rsidR="00450C66">
        <w:t xml:space="preserve">for the treatment of SMA in adult patients on 1 August 2022. </w:t>
      </w:r>
    </w:p>
    <w:p w14:paraId="526743BB" w14:textId="77777777" w:rsidR="005C6661" w:rsidRDefault="005C6661" w:rsidP="00CF5E22">
      <w:pPr>
        <w:pStyle w:val="Heading3"/>
      </w:pPr>
      <w:r>
        <w:t>Data Source / methodology</w:t>
      </w:r>
    </w:p>
    <w:p w14:paraId="3C74AB36" w14:textId="2E1FBA6A" w:rsidR="006804E0" w:rsidRDefault="006804E0" w:rsidP="005C6661">
      <w:pPr>
        <w:pStyle w:val="NoSpacing"/>
      </w:pPr>
      <w:r w:rsidRPr="006804E0">
        <w:t xml:space="preserve">Data extracted from the PBS database maintained by </w:t>
      </w:r>
      <w:r w:rsidR="003271B5">
        <w:t>Department of Health, Disability and Ageing</w:t>
      </w:r>
      <w:r w:rsidRPr="006804E0">
        <w:t>, processed by Services Australia were used for the analyses.</w:t>
      </w:r>
    </w:p>
    <w:p w14:paraId="7599E7C1" w14:textId="77777777" w:rsidR="005C6661" w:rsidRDefault="005C6661" w:rsidP="00CF5E22">
      <w:pPr>
        <w:pStyle w:val="Heading3"/>
      </w:pPr>
      <w:r>
        <w:t>Key Findings</w:t>
      </w:r>
    </w:p>
    <w:p w14:paraId="36F8FD3B" w14:textId="0868D550" w:rsidR="00CF51DE" w:rsidRDefault="00CF51DE" w:rsidP="005C6661">
      <w:pPr>
        <w:pStyle w:val="NoSpacing"/>
        <w:numPr>
          <w:ilvl w:val="0"/>
          <w:numId w:val="1"/>
        </w:numPr>
      </w:pPr>
      <w:r>
        <w:t xml:space="preserve">In 2023, </w:t>
      </w:r>
      <w:r w:rsidR="00EF5649">
        <w:t xml:space="preserve">93 </w:t>
      </w:r>
      <w:r w:rsidR="00EA07D1">
        <w:t xml:space="preserve">adult </w:t>
      </w:r>
      <w:r>
        <w:t xml:space="preserve">patients were </w:t>
      </w:r>
      <w:r w:rsidR="00A93895">
        <w:t xml:space="preserve">supplied </w:t>
      </w:r>
      <w:r w:rsidR="00EA07D1">
        <w:t>314</w:t>
      </w:r>
      <w:r w:rsidR="00A93895">
        <w:t xml:space="preserve"> prescriptions for the treatment of SMA. </w:t>
      </w:r>
    </w:p>
    <w:p w14:paraId="1B31D760" w14:textId="2772A52D" w:rsidR="00A93895" w:rsidRDefault="00A93895" w:rsidP="00A93895">
      <w:pPr>
        <w:pStyle w:val="NoSpacing"/>
        <w:numPr>
          <w:ilvl w:val="0"/>
          <w:numId w:val="1"/>
        </w:numPr>
      </w:pPr>
      <w:r>
        <w:t xml:space="preserve">In 2024, </w:t>
      </w:r>
      <w:r w:rsidR="00EA07D1">
        <w:t>80</w:t>
      </w:r>
      <w:r>
        <w:t xml:space="preserve"> </w:t>
      </w:r>
      <w:r w:rsidR="00EA07D1">
        <w:t xml:space="preserve">adult </w:t>
      </w:r>
      <w:r>
        <w:t xml:space="preserve">patients were supplied </w:t>
      </w:r>
      <w:r w:rsidR="00EA07D1">
        <w:t>230</w:t>
      </w:r>
      <w:r>
        <w:t xml:space="preserve"> prescriptions for the treatment of SMA. </w:t>
      </w:r>
    </w:p>
    <w:p w14:paraId="5CA31916" w14:textId="14656045" w:rsidR="00171B59" w:rsidRDefault="00171B59" w:rsidP="00171B59">
      <w:pPr>
        <w:pStyle w:val="ListParagraph"/>
        <w:numPr>
          <w:ilvl w:val="0"/>
          <w:numId w:val="1"/>
        </w:numPr>
      </w:pPr>
      <w:r>
        <w:t xml:space="preserve">The median age of initiating nusinersen patients was 37 years. </w:t>
      </w:r>
    </w:p>
    <w:p w14:paraId="05CE6708" w14:textId="77777777" w:rsidR="003204B1" w:rsidRDefault="003204B1" w:rsidP="00171B59">
      <w:pPr>
        <w:pStyle w:val="ListParagraph"/>
        <w:numPr>
          <w:ilvl w:val="0"/>
          <w:numId w:val="1"/>
        </w:numPr>
      </w:pPr>
      <w:r w:rsidRPr="00C442E4">
        <w:t xml:space="preserve">The data was too immature to analyse the time on nusinersen treatment, the median treatment duration was not reached by the analysis end date. </w:t>
      </w:r>
    </w:p>
    <w:p w14:paraId="7A2B2982" w14:textId="761EC5C0" w:rsidR="00D94938" w:rsidRDefault="003204B1" w:rsidP="00171B59">
      <w:pPr>
        <w:pStyle w:val="ListParagraph"/>
        <w:numPr>
          <w:ilvl w:val="0"/>
          <w:numId w:val="1"/>
        </w:numPr>
      </w:pPr>
      <w:r>
        <w:t>A greater number of</w:t>
      </w:r>
      <w:r w:rsidR="00581C93">
        <w:t xml:space="preserve"> adult patients have been treated with risd</w:t>
      </w:r>
      <w:r w:rsidR="00925CF5">
        <w:t>i</w:t>
      </w:r>
      <w:r w:rsidR="00581C93">
        <w:t xml:space="preserve">plam </w:t>
      </w:r>
      <w:r w:rsidR="00E45AAE">
        <w:t xml:space="preserve">compared to nusinersen. </w:t>
      </w:r>
    </w:p>
    <w:p w14:paraId="26B66F18" w14:textId="7D9B7E33" w:rsidR="00E45AAE" w:rsidRDefault="00E45AAE" w:rsidP="003204B1">
      <w:pPr>
        <w:pStyle w:val="ListParagraph"/>
        <w:ind w:left="360"/>
      </w:pPr>
    </w:p>
    <w:p w14:paraId="38B57ECC" w14:textId="77777777" w:rsidR="00BB0D1A" w:rsidRDefault="00BB0D1A">
      <w:pPr>
        <w:spacing w:line="276" w:lineRule="auto"/>
        <w:rPr>
          <w:rFonts w:eastAsiaTheme="majorEastAsia" w:cstheme="majorBidi"/>
          <w:b/>
          <w:bCs/>
          <w:sz w:val="32"/>
          <w:szCs w:val="26"/>
        </w:rPr>
      </w:pPr>
      <w:r>
        <w:br w:type="page"/>
      </w:r>
    </w:p>
    <w:p w14:paraId="5B262047" w14:textId="525241DC" w:rsidR="00E677DD" w:rsidRDefault="00E677DD" w:rsidP="00CF5E22">
      <w:pPr>
        <w:pStyle w:val="Heading1"/>
      </w:pPr>
      <w:r w:rsidRPr="00CF5E22">
        <w:lastRenderedPageBreak/>
        <w:t xml:space="preserve">Purpose of </w:t>
      </w:r>
      <w:r w:rsidR="00D151EB" w:rsidRPr="00CF5E22">
        <w:t>analysis</w:t>
      </w:r>
    </w:p>
    <w:p w14:paraId="4B37AEF1" w14:textId="2163601F" w:rsidR="00565C5F" w:rsidRDefault="0079016B" w:rsidP="0079016B">
      <w:r>
        <w:t xml:space="preserve">At its </w:t>
      </w:r>
      <w:r w:rsidR="008C3D0C">
        <w:t xml:space="preserve">March 2022 meeting, the </w:t>
      </w:r>
      <w:r w:rsidR="008C3D0C" w:rsidRPr="008C3D0C">
        <w:t>PBAC recommended the listing of nusinersen for the treatment of adult patients (older than 18 years of age) diagnosed with spinal muscular atrophy (SMA) with symptom onset before 19 years of age (primarily SMA Types II and III), on the basis that it should be available only under special arrangements under Section 100.</w:t>
      </w:r>
      <w:r w:rsidR="00AE34E8">
        <w:t xml:space="preserve"> </w:t>
      </w:r>
    </w:p>
    <w:p w14:paraId="3CA0684B" w14:textId="30E41A46" w:rsidR="00565C5F" w:rsidRPr="0079016B" w:rsidRDefault="00565C5F" w:rsidP="0079016B">
      <w:r w:rsidRPr="00565C5F">
        <w:t>The PBAC considered that given the remaining uncertainty regarding potential uptake and continuation rates in adult SMA patients, a review should take place within three years after listing. The PBAC noted that the sponsor would need to provide relevant data from the SMA registry to inform the review of uptake and continuation rates. The PBAC considered that review of the rates of treatment continuation may also be informative in assessing the ongoing effectiveness of nusinersen in the adult population as perceived by patients and clinicians.</w:t>
      </w:r>
    </w:p>
    <w:p w14:paraId="0A7F0B57" w14:textId="034D22D5" w:rsidR="006537D9" w:rsidRPr="005E22C2" w:rsidRDefault="00736041" w:rsidP="00CF5E22">
      <w:pPr>
        <w:pStyle w:val="Heading1"/>
      </w:pPr>
      <w:r w:rsidRPr="005E22C2">
        <w:t>Background</w:t>
      </w:r>
    </w:p>
    <w:p w14:paraId="2C748275" w14:textId="77777777" w:rsidR="00EE2BBB" w:rsidRPr="007247B9" w:rsidRDefault="00EE2BBB" w:rsidP="00EE2BBB">
      <w:pPr>
        <w:pStyle w:val="Heading2"/>
      </w:pPr>
      <w:r w:rsidRPr="007247B9">
        <w:t>Clinical situation</w:t>
      </w:r>
    </w:p>
    <w:p w14:paraId="3535982C" w14:textId="7B86E452" w:rsidR="005326AB" w:rsidRDefault="00871356" w:rsidP="00EE2BBB">
      <w:r w:rsidRPr="00871356">
        <w:t>Spinal muscular atrophy (SMA) is a genetic condition affecting skeletal motor neurons responsible for controlling muscle movement. These motor neurons degenerate, leading to muscle weakness, hypotonia and atrophy of skeletal muscles.</w:t>
      </w:r>
      <w:r w:rsidR="0087506D">
        <w:rPr>
          <w:rStyle w:val="FootnoteReference"/>
        </w:rPr>
        <w:footnoteReference w:id="1"/>
      </w:r>
      <w:r w:rsidRPr="00871356">
        <w:t xml:space="preserve"> SMA is an autosomal recessive progressive neuromuscular disease due to mutations in chromosome 5q. It has a carrier frequency of one in 35 and an incidence of one in 10,000 live births in Australia.</w:t>
      </w:r>
      <w:r w:rsidR="009A40D7">
        <w:rPr>
          <w:rStyle w:val="FootnoteReference"/>
        </w:rPr>
        <w:footnoteReference w:id="2"/>
      </w:r>
      <w:r w:rsidRPr="00871356">
        <w:t xml:space="preserve"> </w:t>
      </w:r>
    </w:p>
    <w:p w14:paraId="42928036" w14:textId="4C833785" w:rsidR="00871356" w:rsidRDefault="00871356" w:rsidP="00EE2BBB">
      <w:r w:rsidRPr="00871356">
        <w:t>Most patients with SMA have low levels of survival-of-motor-neuron (SMN) protein in their spinal cord motor neurons.</w:t>
      </w:r>
      <w:r w:rsidR="009A40D7">
        <w:rPr>
          <w:rStyle w:val="FootnoteReference"/>
        </w:rPr>
        <w:footnoteReference w:id="3"/>
      </w:r>
      <w:r w:rsidRPr="00871356">
        <w:t xml:space="preserve"> The SMN protein is produced by survival motor neuron 1 (SMN1) and survival motor neuron 2 (SMN2) genes. SMA patients have no functioning copies of the SMN1 gene, due to a homozygous deletion of the SMN1 gene on chromosome 5q. Therefore, SMA patients are dependent on the SMN2 gene for production of SMN protein. The SMN2 gene is a pseudogene of SMN1, but differs in exon 7 where the 840th nucleotide is a C in SMN1 and T in SMN2. This difference results in splicing out of exon 7 in SMN2 messenger ribonucleic acid (mRNA) and the production of rapidly degrading SMN proteins.</w:t>
      </w:r>
      <w:r w:rsidR="001C6730">
        <w:rPr>
          <w:rStyle w:val="FootnoteReference"/>
        </w:rPr>
        <w:footnoteReference w:id="4"/>
      </w:r>
      <w:r w:rsidR="001C6730">
        <w:t xml:space="preserve"> </w:t>
      </w:r>
      <w:r w:rsidRPr="00871356">
        <w:t xml:space="preserve">Consequently, SMA patients have limited quantities of SMN protein. The phenotypic severity of SMA is associated with the number of SMN2 genes </w:t>
      </w:r>
      <w:r w:rsidRPr="00871356">
        <w:lastRenderedPageBreak/>
        <w:t>available. Fewer SMN2 gene copies are generally associated with an earlier age of onset and increased severity of symptoms.</w:t>
      </w:r>
      <w:r w:rsidR="001C6730">
        <w:rPr>
          <w:rStyle w:val="FootnoteReference"/>
        </w:rPr>
        <w:footnoteReference w:id="5"/>
      </w:r>
    </w:p>
    <w:p w14:paraId="1DCDF219" w14:textId="00F20EB6" w:rsidR="00036882" w:rsidRDefault="009A4EC9" w:rsidP="00EE2BBB">
      <w:r>
        <w:t xml:space="preserve">At the time of this review, </w:t>
      </w:r>
      <w:r w:rsidR="003B37E3">
        <w:t>n</w:t>
      </w:r>
      <w:r w:rsidR="00036882">
        <w:t xml:space="preserve">usinersen is </w:t>
      </w:r>
      <w:r w:rsidR="003B37E3">
        <w:t xml:space="preserve">PBS-listed </w:t>
      </w:r>
      <w:r w:rsidR="00036882">
        <w:t xml:space="preserve">for the treatment of: </w:t>
      </w:r>
    </w:p>
    <w:p w14:paraId="65557B09" w14:textId="2E80A899" w:rsidR="00036882" w:rsidRDefault="0022386A" w:rsidP="00036882">
      <w:pPr>
        <w:pStyle w:val="ListParagraph"/>
        <w:numPr>
          <w:ilvl w:val="0"/>
          <w:numId w:val="1"/>
        </w:numPr>
      </w:pPr>
      <w:r>
        <w:t>Children with s</w:t>
      </w:r>
      <w:r w:rsidR="00036882">
        <w:t>ymptomatic SMA (Type I, II, IIIa</w:t>
      </w:r>
      <w:r w:rsidR="00C11C0E">
        <w:t xml:space="preserve"> and Type </w:t>
      </w:r>
      <w:r w:rsidR="003B37E3">
        <w:t xml:space="preserve">IIIb, </w:t>
      </w:r>
      <w:r w:rsidR="00CA4CD0">
        <w:t>III</w:t>
      </w:r>
      <w:r w:rsidR="003B37E3">
        <w:t>c)</w:t>
      </w:r>
    </w:p>
    <w:p w14:paraId="269A7DB7" w14:textId="2D122FB9" w:rsidR="003B37E3" w:rsidRDefault="0022386A" w:rsidP="00036882">
      <w:pPr>
        <w:pStyle w:val="ListParagraph"/>
        <w:numPr>
          <w:ilvl w:val="0"/>
          <w:numId w:val="1"/>
        </w:numPr>
      </w:pPr>
      <w:r>
        <w:t>Children with p</w:t>
      </w:r>
      <w:r w:rsidR="003B37E3">
        <w:t>resymptomatic SMA (</w:t>
      </w:r>
      <w:r w:rsidR="00C11C0E">
        <w:rPr>
          <w:rFonts w:cstheme="minorHAnsi"/>
        </w:rPr>
        <w:t>≤</w:t>
      </w:r>
      <w:r w:rsidR="00C11C0E">
        <w:t xml:space="preserve">3 </w:t>
      </w:r>
      <w:r w:rsidR="003B37E3">
        <w:t xml:space="preserve">copies of SMN2 gene) </w:t>
      </w:r>
    </w:p>
    <w:p w14:paraId="3D5B562C" w14:textId="4A7B1D7B" w:rsidR="003B37E3" w:rsidRDefault="003B37E3" w:rsidP="00036882">
      <w:pPr>
        <w:pStyle w:val="ListParagraph"/>
        <w:numPr>
          <w:ilvl w:val="0"/>
          <w:numId w:val="1"/>
        </w:numPr>
      </w:pPr>
      <w:r>
        <w:t>Adult</w:t>
      </w:r>
      <w:r w:rsidR="004A1FC3">
        <w:t>s</w:t>
      </w:r>
      <w:r>
        <w:t xml:space="preserve"> </w:t>
      </w:r>
      <w:r w:rsidR="0022386A" w:rsidRPr="008C3D0C">
        <w:t>with SMA</w:t>
      </w:r>
      <w:r w:rsidR="0022386A">
        <w:t xml:space="preserve"> </w:t>
      </w:r>
      <w:r w:rsidR="0022386A" w:rsidRPr="008C3D0C">
        <w:t>with symptom onset before 19 years of age</w:t>
      </w:r>
      <w:r w:rsidR="0004524B">
        <w:t xml:space="preserve">. </w:t>
      </w:r>
    </w:p>
    <w:p w14:paraId="2982AB56" w14:textId="77777777" w:rsidR="00307F64" w:rsidRDefault="003B37E3" w:rsidP="003B37E3">
      <w:r>
        <w:t xml:space="preserve">There are also currently two other therapies for the treatment of SMA. </w:t>
      </w:r>
    </w:p>
    <w:p w14:paraId="62DA46C2" w14:textId="2CE75CFA" w:rsidR="00307F64" w:rsidRDefault="003B37E3" w:rsidP="00307F64">
      <w:pPr>
        <w:pStyle w:val="ListParagraph"/>
        <w:numPr>
          <w:ilvl w:val="0"/>
          <w:numId w:val="34"/>
        </w:numPr>
      </w:pPr>
      <w:r>
        <w:t>Risdiplam</w:t>
      </w:r>
      <w:r w:rsidR="00550464">
        <w:t xml:space="preserve"> is indicated for the same populations as nusinersen. </w:t>
      </w:r>
    </w:p>
    <w:p w14:paraId="5D262D1B" w14:textId="18771271" w:rsidR="00923186" w:rsidRPr="00871356" w:rsidRDefault="00307F64" w:rsidP="00923186">
      <w:pPr>
        <w:pStyle w:val="ListParagraph"/>
        <w:numPr>
          <w:ilvl w:val="0"/>
          <w:numId w:val="34"/>
        </w:numPr>
      </w:pPr>
      <w:r>
        <w:t>Onasemnogene abeparvovec (ONA)</w:t>
      </w:r>
      <w:r w:rsidR="0048327B">
        <w:t xml:space="preserve"> </w:t>
      </w:r>
      <w:r w:rsidR="00FA222F">
        <w:t xml:space="preserve">is indicated for </w:t>
      </w:r>
      <w:r w:rsidR="00334430">
        <w:t xml:space="preserve">Type I and </w:t>
      </w:r>
      <w:r w:rsidR="00771827">
        <w:t>presymptomatic</w:t>
      </w:r>
      <w:r w:rsidR="00334430">
        <w:t xml:space="preserve"> SMA </w:t>
      </w:r>
      <w:r w:rsidR="00FA222F">
        <w:t>(</w:t>
      </w:r>
      <w:r w:rsidR="00C11C0E" w:rsidRPr="00307F64">
        <w:rPr>
          <w:rFonts w:cstheme="minorHAnsi"/>
        </w:rPr>
        <w:t>≤</w:t>
      </w:r>
      <w:r w:rsidR="00C11C0E">
        <w:t xml:space="preserve">3 </w:t>
      </w:r>
      <w:r w:rsidR="00771827">
        <w:t>copies</w:t>
      </w:r>
      <w:r w:rsidR="00334430">
        <w:t xml:space="preserve"> of SMN2 gene)</w:t>
      </w:r>
      <w:r w:rsidR="00FA222F">
        <w:t xml:space="preserve">. </w:t>
      </w:r>
    </w:p>
    <w:p w14:paraId="0183A567" w14:textId="413DF87B" w:rsidR="007247B9" w:rsidRDefault="007247B9" w:rsidP="00CF5E22">
      <w:pPr>
        <w:pStyle w:val="Heading2"/>
      </w:pPr>
      <w:r>
        <w:t>Pharmacology</w:t>
      </w:r>
    </w:p>
    <w:p w14:paraId="3CB48ED2" w14:textId="3E87F8DE" w:rsidR="00871356" w:rsidRPr="007247B9" w:rsidRDefault="00871356" w:rsidP="00AE4BAC">
      <w:r w:rsidRPr="00450C66">
        <w:t>Nusinersen is an antisense oligonucleotide (ASO) which increases the proportion of exon 7 inclusion in SMN2 mRNA transcripts by binding to an intronic splice silencing site (ISS-N1) in intron 7 or binding to SMN2 pre-mRNA. Exon 7 remains in SMN2 mRNA and can be translated to functional full length SMN protein.</w:t>
      </w:r>
      <w:r w:rsidR="00450C66" w:rsidRPr="00450C66">
        <w:rPr>
          <w:rStyle w:val="FootnoteReference"/>
        </w:rPr>
        <w:footnoteReference w:id="6"/>
      </w:r>
    </w:p>
    <w:p w14:paraId="6AC18C88" w14:textId="7A398934" w:rsidR="001420B3" w:rsidRPr="005E22C2" w:rsidRDefault="00A52918" w:rsidP="00CF5E22">
      <w:pPr>
        <w:pStyle w:val="Heading2"/>
      </w:pPr>
      <w:r w:rsidRPr="00A52918">
        <w:t xml:space="preserve">Therapeutic Goods Administration </w:t>
      </w:r>
      <w:r>
        <w:t>(</w:t>
      </w:r>
      <w:r w:rsidR="001420B3" w:rsidRPr="005E22C2">
        <w:t>TGA</w:t>
      </w:r>
      <w:r>
        <w:t>)</w:t>
      </w:r>
      <w:r w:rsidR="001420B3" w:rsidRPr="005E22C2">
        <w:t xml:space="preserve"> approved </w:t>
      </w:r>
      <w:r w:rsidR="001420B3">
        <w:t>i</w:t>
      </w:r>
      <w:r w:rsidR="001420B3" w:rsidRPr="005E22C2">
        <w:t>ndications</w:t>
      </w:r>
    </w:p>
    <w:p w14:paraId="39D7A05A" w14:textId="5AC78BF6" w:rsidR="00096184" w:rsidRDefault="00096184" w:rsidP="00A35800">
      <w:r w:rsidRPr="00096184">
        <w:t>Nusinersen was ARTG approved</w:t>
      </w:r>
      <w:r w:rsidR="003E5561">
        <w:t xml:space="preserve"> on</w:t>
      </w:r>
      <w:r w:rsidRPr="00096184">
        <w:t xml:space="preserve"> 2 November 2017. Nusinersen is only indicated for the treatment of 5q Spinal Muscular Atrophy.</w:t>
      </w:r>
    </w:p>
    <w:p w14:paraId="15E919C1" w14:textId="1B3BA560" w:rsidR="006B709B" w:rsidRDefault="006B709B" w:rsidP="00CF5E22">
      <w:pPr>
        <w:pStyle w:val="Heading2"/>
      </w:pPr>
      <w:r>
        <w:t>Dosage and administration</w:t>
      </w:r>
    </w:p>
    <w:p w14:paraId="3BCA8644" w14:textId="638DB1A6" w:rsidR="005326AB" w:rsidRDefault="00096184" w:rsidP="00A35800">
      <w:r w:rsidRPr="00096184">
        <w:t xml:space="preserve">The recommended dosage of nusinersen is 12 mg (5 mL) per administration. Four loading doses are administered on days 0, 14, 28 and 63. A maintenance dose is administered once every four months thereafter. </w:t>
      </w:r>
    </w:p>
    <w:p w14:paraId="01A6D4F7" w14:textId="4BF61D30" w:rsidR="005326AB" w:rsidRDefault="00096184" w:rsidP="00A35800">
      <w:r w:rsidRPr="00096184">
        <w:t xml:space="preserve">If a loading dose is delayed or missed, nusinersen should be administered as soon as possible with at least 14 days between doses, and dosing continued at the prescribed dosing frequency. If a maintenance dose is delayed or missed, nusinersen should be administered as soon as possible and dosing continued at the prescribed dosing frequency. Nusinersen is administered intrathecally by lumbar puncture. It should be administered by health care professionals experienced in performing lumbar punctures. </w:t>
      </w:r>
    </w:p>
    <w:p w14:paraId="58C842B2" w14:textId="7273EFCB" w:rsidR="00CE3334" w:rsidRPr="002F61CA" w:rsidRDefault="00F17D4B" w:rsidP="00F17D4B">
      <w:r w:rsidRPr="002F61CA">
        <w:lastRenderedPageBreak/>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46E2BB42" w14:textId="58DC538A" w:rsidR="00DF0B13" w:rsidRDefault="00DF0B13" w:rsidP="00CF5E22">
      <w:pPr>
        <w:pStyle w:val="Heading2"/>
      </w:pPr>
      <w:r w:rsidRPr="007247B9" w:rsidDel="00EE2BBB">
        <w:t>PBS listing details</w:t>
      </w:r>
      <w:r w:rsidR="00D151EB" w:rsidDel="00EE2BBB">
        <w:t xml:space="preserve"> (as at </w:t>
      </w:r>
      <w:r w:rsidR="00DB743E">
        <w:t>March 2025)</w:t>
      </w:r>
    </w:p>
    <w:p w14:paraId="4D617931" w14:textId="43A00B85" w:rsidR="00465A97" w:rsidRPr="001420B3" w:rsidDel="00EE2BBB" w:rsidRDefault="00465A97" w:rsidP="00465A97">
      <w:pPr>
        <w:pStyle w:val="Tabletitle"/>
      </w:pPr>
      <w:r w:rsidRPr="001420B3" w:rsidDel="00EE2BBB">
        <w:t xml:space="preserve">Table </w:t>
      </w:r>
      <w:r w:rsidR="0058097E">
        <w:t>1</w:t>
      </w:r>
      <w:r w:rsidRPr="001420B3" w:rsidDel="00EE2BBB">
        <w:t xml:space="preserve">: </w:t>
      </w:r>
      <w:r w:rsidDel="00EE2BBB">
        <w:t>PBS listing</w:t>
      </w:r>
      <w:r w:rsidR="00C46D1F">
        <w:t xml:space="preserve"> details</w:t>
      </w:r>
      <w:r w:rsidDel="00EE2BBB">
        <w:t xml:space="preserve"> of </w:t>
      </w:r>
      <w:r>
        <w:t xml:space="preserve">nusinersen for </w:t>
      </w:r>
      <w:r w:rsidR="00276954">
        <w:t>SMA in adults</w:t>
      </w:r>
      <w:r>
        <w:t xml:space="preserve"> </w:t>
      </w:r>
      <w:r w:rsidDel="00EE2BBB">
        <w:t xml:space="preserve"> </w:t>
      </w:r>
    </w:p>
    <w:tbl>
      <w:tblPr>
        <w:tblStyle w:val="TableGrid"/>
        <w:tblW w:w="9064" w:type="dxa"/>
        <w:tblLayout w:type="fixed"/>
        <w:tblLook w:val="04A0" w:firstRow="1" w:lastRow="0" w:firstColumn="1" w:lastColumn="0" w:noHBand="0" w:noVBand="1"/>
      </w:tblPr>
      <w:tblGrid>
        <w:gridCol w:w="969"/>
        <w:gridCol w:w="3704"/>
        <w:gridCol w:w="709"/>
        <w:gridCol w:w="709"/>
        <w:gridCol w:w="1275"/>
        <w:gridCol w:w="1698"/>
      </w:tblGrid>
      <w:tr w:rsidR="00465A97" w:rsidRPr="00A35800" w:rsidDel="00EE2BBB" w14:paraId="5EC75494" w14:textId="77777777" w:rsidTr="00827070">
        <w:trPr>
          <w:trHeight w:val="694"/>
          <w:tblHeader/>
        </w:trPr>
        <w:tc>
          <w:tcPr>
            <w:tcW w:w="969" w:type="dxa"/>
            <w:shd w:val="clear" w:color="auto" w:fill="BFBFBF" w:themeFill="background1" w:themeFillShade="BF"/>
          </w:tcPr>
          <w:p w14:paraId="2F7321D9" w14:textId="77777777" w:rsidR="00465A97" w:rsidRPr="00A35800" w:rsidDel="00EE2BBB" w:rsidRDefault="00465A97" w:rsidP="00827070">
            <w:pPr>
              <w:pStyle w:val="Tableheading"/>
              <w:spacing w:beforeLines="60" w:before="144" w:afterLines="60" w:after="144"/>
              <w:rPr>
                <w:sz w:val="20"/>
                <w:szCs w:val="20"/>
              </w:rPr>
            </w:pPr>
            <w:r w:rsidRPr="00A35800" w:rsidDel="00EE2BBB">
              <w:rPr>
                <w:sz w:val="20"/>
                <w:szCs w:val="20"/>
              </w:rPr>
              <w:t>Item</w:t>
            </w:r>
            <w:r>
              <w:rPr>
                <w:sz w:val="20"/>
                <w:szCs w:val="20"/>
              </w:rPr>
              <w:t xml:space="preserve"> code</w:t>
            </w:r>
          </w:p>
        </w:tc>
        <w:tc>
          <w:tcPr>
            <w:tcW w:w="3704" w:type="dxa"/>
            <w:shd w:val="clear" w:color="auto" w:fill="BFBFBF" w:themeFill="background1" w:themeFillShade="BF"/>
          </w:tcPr>
          <w:p w14:paraId="6EE63B86" w14:textId="77777777" w:rsidR="00465A97" w:rsidRPr="00A35800" w:rsidDel="00EE2BBB" w:rsidRDefault="00465A97" w:rsidP="00827070">
            <w:pPr>
              <w:pStyle w:val="Tableheading"/>
              <w:spacing w:beforeLines="60" w:before="144" w:afterLines="60" w:after="144"/>
              <w:rPr>
                <w:sz w:val="20"/>
                <w:szCs w:val="20"/>
              </w:rPr>
            </w:pPr>
            <w:r w:rsidRPr="00A35800" w:rsidDel="00EE2BBB">
              <w:rPr>
                <w:sz w:val="20"/>
                <w:szCs w:val="20"/>
              </w:rPr>
              <w:t>Name, form &amp; strength, pack size</w:t>
            </w:r>
          </w:p>
        </w:tc>
        <w:tc>
          <w:tcPr>
            <w:tcW w:w="709" w:type="dxa"/>
            <w:shd w:val="clear" w:color="auto" w:fill="BFBFBF" w:themeFill="background1" w:themeFillShade="BF"/>
          </w:tcPr>
          <w:p w14:paraId="11867EA4" w14:textId="77777777" w:rsidR="00465A97" w:rsidRPr="00A35800" w:rsidDel="00EE2BBB" w:rsidRDefault="00465A97" w:rsidP="00827070">
            <w:pPr>
              <w:pStyle w:val="Tableheading"/>
              <w:spacing w:beforeLines="60" w:before="144" w:afterLines="60" w:after="144"/>
              <w:rPr>
                <w:sz w:val="20"/>
                <w:szCs w:val="20"/>
              </w:rPr>
            </w:pPr>
            <w:r w:rsidRPr="00A35800" w:rsidDel="00EE2BBB">
              <w:rPr>
                <w:sz w:val="20"/>
                <w:szCs w:val="20"/>
              </w:rPr>
              <w:t xml:space="preserve">Max. </w:t>
            </w:r>
            <w:r>
              <w:rPr>
                <w:sz w:val="20"/>
                <w:szCs w:val="20"/>
              </w:rPr>
              <w:t>qty</w:t>
            </w:r>
            <w:r w:rsidRPr="00A35800" w:rsidDel="00EE2BBB">
              <w:rPr>
                <w:sz w:val="20"/>
                <w:szCs w:val="20"/>
              </w:rPr>
              <w:t>.</w:t>
            </w:r>
          </w:p>
        </w:tc>
        <w:tc>
          <w:tcPr>
            <w:tcW w:w="709" w:type="dxa"/>
            <w:shd w:val="clear" w:color="auto" w:fill="BFBFBF" w:themeFill="background1" w:themeFillShade="BF"/>
          </w:tcPr>
          <w:p w14:paraId="6FB50FE6" w14:textId="77777777" w:rsidR="00465A97" w:rsidRPr="00A35800" w:rsidDel="00EE2BBB" w:rsidRDefault="00465A97" w:rsidP="00827070">
            <w:pPr>
              <w:pStyle w:val="Tableheading"/>
              <w:spacing w:beforeLines="60" w:before="144" w:afterLines="60" w:after="144"/>
              <w:rPr>
                <w:sz w:val="20"/>
                <w:szCs w:val="20"/>
              </w:rPr>
            </w:pPr>
            <w:r w:rsidRPr="00A35800" w:rsidDel="00EE2BBB">
              <w:rPr>
                <w:sz w:val="20"/>
                <w:szCs w:val="20"/>
              </w:rPr>
              <w:t>Rpts</w:t>
            </w:r>
          </w:p>
        </w:tc>
        <w:tc>
          <w:tcPr>
            <w:tcW w:w="1275" w:type="dxa"/>
            <w:shd w:val="clear" w:color="auto" w:fill="BFBFBF" w:themeFill="background1" w:themeFillShade="BF"/>
          </w:tcPr>
          <w:p w14:paraId="102FDED9" w14:textId="77777777" w:rsidR="00465A97" w:rsidRPr="00A35800" w:rsidDel="00EE2BBB" w:rsidRDefault="00465A97" w:rsidP="00827070">
            <w:pPr>
              <w:pStyle w:val="Tableheading"/>
              <w:spacing w:beforeLines="60" w:before="144" w:afterLines="60" w:after="144"/>
              <w:rPr>
                <w:sz w:val="20"/>
                <w:szCs w:val="20"/>
              </w:rPr>
            </w:pPr>
            <w:r w:rsidRPr="00A35800" w:rsidDel="00EE2BBB">
              <w:rPr>
                <w:sz w:val="20"/>
                <w:szCs w:val="20"/>
              </w:rPr>
              <w:t>DPMQ</w:t>
            </w:r>
          </w:p>
        </w:tc>
        <w:tc>
          <w:tcPr>
            <w:tcW w:w="1698" w:type="dxa"/>
            <w:shd w:val="clear" w:color="auto" w:fill="BFBFBF" w:themeFill="background1" w:themeFillShade="BF"/>
          </w:tcPr>
          <w:p w14:paraId="1784DAB7" w14:textId="77777777" w:rsidR="00465A97" w:rsidRPr="00A35800" w:rsidDel="00EE2BBB" w:rsidRDefault="00465A97" w:rsidP="00827070">
            <w:pPr>
              <w:pStyle w:val="Tableheading"/>
              <w:spacing w:beforeLines="60" w:before="144" w:afterLines="60" w:after="144"/>
              <w:rPr>
                <w:sz w:val="20"/>
                <w:szCs w:val="20"/>
              </w:rPr>
            </w:pPr>
            <w:r w:rsidRPr="00A35800" w:rsidDel="00EE2BBB">
              <w:rPr>
                <w:sz w:val="20"/>
                <w:szCs w:val="20"/>
              </w:rPr>
              <w:t>Brand name and manufacturer</w:t>
            </w:r>
          </w:p>
        </w:tc>
      </w:tr>
      <w:tr w:rsidR="008343F0" w:rsidRPr="00A35800" w:rsidDel="00EE2BBB" w14:paraId="346C726E" w14:textId="77777777" w:rsidTr="00827070">
        <w:trPr>
          <w:trHeight w:val="552"/>
          <w:tblHeader/>
        </w:trPr>
        <w:tc>
          <w:tcPr>
            <w:tcW w:w="969" w:type="dxa"/>
          </w:tcPr>
          <w:p w14:paraId="20049127" w14:textId="77777777" w:rsidR="008343F0" w:rsidRDefault="008343F0" w:rsidP="00827070">
            <w:pPr>
              <w:pStyle w:val="Tablewriting"/>
              <w:spacing w:beforeLines="60" w:before="144" w:afterLines="60" w:after="144"/>
              <w:jc w:val="center"/>
            </w:pPr>
            <w:r>
              <w:t>13052Y</w:t>
            </w:r>
          </w:p>
        </w:tc>
        <w:tc>
          <w:tcPr>
            <w:tcW w:w="3704" w:type="dxa"/>
          </w:tcPr>
          <w:p w14:paraId="6A414168" w14:textId="77777777" w:rsidR="008343F0" w:rsidRPr="000B771A" w:rsidRDefault="008343F0" w:rsidP="00827070">
            <w:pPr>
              <w:pStyle w:val="Tablewriting"/>
              <w:spacing w:beforeLines="60" w:before="144" w:afterLines="60" w:after="144"/>
            </w:pPr>
            <w:r w:rsidRPr="00057192">
              <w:t>nusinersen 12 mg/5 mL intrathecal injection, 5 mL vial</w:t>
            </w:r>
          </w:p>
        </w:tc>
        <w:tc>
          <w:tcPr>
            <w:tcW w:w="709" w:type="dxa"/>
          </w:tcPr>
          <w:p w14:paraId="6477347B" w14:textId="77777777" w:rsidR="008343F0" w:rsidRDefault="008343F0" w:rsidP="00827070">
            <w:pPr>
              <w:pStyle w:val="Tablewriting"/>
              <w:spacing w:beforeLines="60" w:before="144" w:afterLines="60" w:after="144"/>
              <w:jc w:val="center"/>
            </w:pPr>
            <w:r>
              <w:t>1</w:t>
            </w:r>
          </w:p>
        </w:tc>
        <w:tc>
          <w:tcPr>
            <w:tcW w:w="709" w:type="dxa"/>
          </w:tcPr>
          <w:p w14:paraId="4C253CA2" w14:textId="77777777" w:rsidR="008343F0" w:rsidRDefault="008343F0" w:rsidP="00827070">
            <w:pPr>
              <w:pStyle w:val="Tablewriting"/>
              <w:spacing w:beforeLines="60" w:before="144" w:afterLines="60" w:after="144"/>
              <w:jc w:val="center"/>
            </w:pPr>
            <w:r>
              <w:t>3</w:t>
            </w:r>
          </w:p>
        </w:tc>
        <w:tc>
          <w:tcPr>
            <w:tcW w:w="1275" w:type="dxa"/>
          </w:tcPr>
          <w:p w14:paraId="4B93E68C" w14:textId="77777777" w:rsidR="008343F0" w:rsidRDefault="008343F0" w:rsidP="00827070">
            <w:pPr>
              <w:pStyle w:val="Tablewriting"/>
              <w:spacing w:beforeLines="60" w:before="144" w:afterLines="60" w:after="144"/>
            </w:pPr>
            <w:r>
              <w:t>$104,500.00</w:t>
            </w:r>
          </w:p>
        </w:tc>
        <w:tc>
          <w:tcPr>
            <w:tcW w:w="1698" w:type="dxa"/>
            <w:vMerge w:val="restart"/>
          </w:tcPr>
          <w:p w14:paraId="04005E95" w14:textId="77777777" w:rsidR="008343F0" w:rsidRDefault="008343F0" w:rsidP="00827070">
            <w:pPr>
              <w:pStyle w:val="Tablewriting"/>
              <w:spacing w:beforeLines="60" w:before="144" w:afterLines="60" w:after="144"/>
            </w:pPr>
            <w:r>
              <w:t>Spinraza®</w:t>
            </w:r>
          </w:p>
          <w:p w14:paraId="1D3925D1" w14:textId="77777777" w:rsidR="008343F0" w:rsidRPr="00A35800" w:rsidDel="00EE2BBB" w:rsidRDefault="008343F0" w:rsidP="00827070">
            <w:pPr>
              <w:pStyle w:val="Tablewriting"/>
              <w:spacing w:beforeLines="60" w:before="144" w:afterLines="60" w:after="144"/>
            </w:pPr>
            <w:r>
              <w:t xml:space="preserve">Biogen Australia Pty Ltd </w:t>
            </w:r>
          </w:p>
        </w:tc>
      </w:tr>
      <w:tr w:rsidR="008343F0" w:rsidRPr="00A35800" w:rsidDel="00EE2BBB" w14:paraId="6F5BFC77" w14:textId="77777777" w:rsidTr="00827070">
        <w:trPr>
          <w:trHeight w:val="552"/>
          <w:tblHeader/>
        </w:trPr>
        <w:tc>
          <w:tcPr>
            <w:tcW w:w="969" w:type="dxa"/>
          </w:tcPr>
          <w:p w14:paraId="5186A175" w14:textId="7E11DB88" w:rsidR="008343F0" w:rsidRDefault="008343F0" w:rsidP="00827070">
            <w:pPr>
              <w:pStyle w:val="Tablewriting"/>
              <w:spacing w:beforeLines="60" w:before="144" w:afterLines="60" w:after="144"/>
              <w:jc w:val="center"/>
            </w:pPr>
            <w:r>
              <w:t>13068T</w:t>
            </w:r>
          </w:p>
        </w:tc>
        <w:tc>
          <w:tcPr>
            <w:tcW w:w="3704" w:type="dxa"/>
          </w:tcPr>
          <w:p w14:paraId="34ECF85F" w14:textId="0E1FF615" w:rsidR="008343F0" w:rsidRPr="00057192" w:rsidRDefault="008343F0" w:rsidP="00827070">
            <w:pPr>
              <w:pStyle w:val="Tablewriting"/>
              <w:spacing w:beforeLines="60" w:before="144" w:afterLines="60" w:after="144"/>
            </w:pPr>
            <w:r w:rsidRPr="00057192">
              <w:t>nusinersen 12 mg/5 mL intrathecal injection, 5 mL vial</w:t>
            </w:r>
          </w:p>
        </w:tc>
        <w:tc>
          <w:tcPr>
            <w:tcW w:w="709" w:type="dxa"/>
          </w:tcPr>
          <w:p w14:paraId="02011973" w14:textId="7B3038E6" w:rsidR="008343F0" w:rsidRDefault="008343F0" w:rsidP="00827070">
            <w:pPr>
              <w:pStyle w:val="Tablewriting"/>
              <w:spacing w:beforeLines="60" w:before="144" w:afterLines="60" w:after="144"/>
              <w:jc w:val="center"/>
            </w:pPr>
            <w:r>
              <w:t>1</w:t>
            </w:r>
          </w:p>
        </w:tc>
        <w:tc>
          <w:tcPr>
            <w:tcW w:w="709" w:type="dxa"/>
          </w:tcPr>
          <w:p w14:paraId="7F3A0872" w14:textId="0403D561" w:rsidR="008343F0" w:rsidRDefault="008343F0" w:rsidP="00827070">
            <w:pPr>
              <w:pStyle w:val="Tablewriting"/>
              <w:spacing w:beforeLines="60" w:before="144" w:afterLines="60" w:after="144"/>
              <w:jc w:val="center"/>
            </w:pPr>
            <w:r>
              <w:t>0</w:t>
            </w:r>
          </w:p>
        </w:tc>
        <w:tc>
          <w:tcPr>
            <w:tcW w:w="1275" w:type="dxa"/>
          </w:tcPr>
          <w:p w14:paraId="7062FC0B" w14:textId="221DAD9A" w:rsidR="008343F0" w:rsidRDefault="008343F0" w:rsidP="00827070">
            <w:pPr>
              <w:pStyle w:val="Tablewriting"/>
              <w:spacing w:beforeLines="60" w:before="144" w:afterLines="60" w:after="144"/>
            </w:pPr>
            <w:r>
              <w:t>$104,500.00</w:t>
            </w:r>
          </w:p>
        </w:tc>
        <w:tc>
          <w:tcPr>
            <w:tcW w:w="1698" w:type="dxa"/>
            <w:vMerge/>
          </w:tcPr>
          <w:p w14:paraId="206C21DE" w14:textId="77777777" w:rsidR="008343F0" w:rsidRDefault="008343F0" w:rsidP="00827070">
            <w:pPr>
              <w:pStyle w:val="Tablewriting"/>
              <w:spacing w:beforeLines="60" w:before="144" w:afterLines="60" w:after="144"/>
            </w:pPr>
          </w:p>
        </w:tc>
      </w:tr>
      <w:tr w:rsidR="008343F0" w:rsidRPr="00A35800" w:rsidDel="00EE2BBB" w14:paraId="47A0DFEE" w14:textId="77777777" w:rsidTr="00827070">
        <w:trPr>
          <w:trHeight w:val="552"/>
          <w:tblHeader/>
        </w:trPr>
        <w:tc>
          <w:tcPr>
            <w:tcW w:w="969" w:type="dxa"/>
          </w:tcPr>
          <w:p w14:paraId="3F6EC5F2" w14:textId="77777777" w:rsidR="008343F0" w:rsidRDefault="008343F0" w:rsidP="00827070">
            <w:pPr>
              <w:pStyle w:val="Tablewriting"/>
              <w:spacing w:beforeLines="60" w:before="144" w:afterLines="60" w:after="144"/>
              <w:jc w:val="center"/>
            </w:pPr>
            <w:r>
              <w:t>13064N</w:t>
            </w:r>
          </w:p>
        </w:tc>
        <w:tc>
          <w:tcPr>
            <w:tcW w:w="3704" w:type="dxa"/>
          </w:tcPr>
          <w:p w14:paraId="17ACA28B" w14:textId="77777777" w:rsidR="008343F0" w:rsidRPr="00057192" w:rsidRDefault="008343F0" w:rsidP="00827070">
            <w:pPr>
              <w:pStyle w:val="Tablewriting"/>
              <w:spacing w:beforeLines="60" w:before="144" w:afterLines="60" w:after="144"/>
            </w:pPr>
            <w:r w:rsidRPr="00057192">
              <w:t>nusinersen 12 mg/5 mL intrathecal injection, 5 mL vial</w:t>
            </w:r>
          </w:p>
        </w:tc>
        <w:tc>
          <w:tcPr>
            <w:tcW w:w="709" w:type="dxa"/>
          </w:tcPr>
          <w:p w14:paraId="54E468DD" w14:textId="77777777" w:rsidR="008343F0" w:rsidRDefault="008343F0" w:rsidP="00827070">
            <w:pPr>
              <w:pStyle w:val="Tablewriting"/>
              <w:spacing w:beforeLines="60" w:before="144" w:afterLines="60" w:after="144"/>
              <w:jc w:val="center"/>
            </w:pPr>
            <w:r>
              <w:t>1</w:t>
            </w:r>
          </w:p>
        </w:tc>
        <w:tc>
          <w:tcPr>
            <w:tcW w:w="709" w:type="dxa"/>
          </w:tcPr>
          <w:p w14:paraId="5997D33B" w14:textId="77777777" w:rsidR="008343F0" w:rsidRDefault="008343F0" w:rsidP="00827070">
            <w:pPr>
              <w:pStyle w:val="Tablewriting"/>
              <w:spacing w:beforeLines="60" w:before="144" w:afterLines="60" w:after="144"/>
              <w:jc w:val="center"/>
            </w:pPr>
            <w:r>
              <w:t>3</w:t>
            </w:r>
          </w:p>
        </w:tc>
        <w:tc>
          <w:tcPr>
            <w:tcW w:w="1275" w:type="dxa"/>
          </w:tcPr>
          <w:p w14:paraId="308F5C52" w14:textId="77777777" w:rsidR="008343F0" w:rsidRDefault="008343F0" w:rsidP="00827070">
            <w:pPr>
              <w:pStyle w:val="Tablewriting"/>
              <w:spacing w:beforeLines="60" w:before="144" w:afterLines="60" w:after="144"/>
            </w:pPr>
            <w:r>
              <w:t>$104,548.67</w:t>
            </w:r>
          </w:p>
        </w:tc>
        <w:tc>
          <w:tcPr>
            <w:tcW w:w="1698" w:type="dxa"/>
            <w:vMerge/>
          </w:tcPr>
          <w:p w14:paraId="06D5801F" w14:textId="77777777" w:rsidR="008343F0" w:rsidRPr="00A35800" w:rsidDel="00EE2BBB" w:rsidRDefault="008343F0" w:rsidP="00827070">
            <w:pPr>
              <w:pStyle w:val="Tablewriting"/>
              <w:spacing w:beforeLines="60" w:before="144" w:afterLines="60" w:after="144"/>
            </w:pPr>
          </w:p>
        </w:tc>
      </w:tr>
      <w:tr w:rsidR="008343F0" w:rsidRPr="00A35800" w:rsidDel="00EE2BBB" w14:paraId="298F35EB" w14:textId="77777777" w:rsidTr="00827070">
        <w:trPr>
          <w:trHeight w:val="552"/>
          <w:tblHeader/>
        </w:trPr>
        <w:tc>
          <w:tcPr>
            <w:tcW w:w="969" w:type="dxa"/>
          </w:tcPr>
          <w:p w14:paraId="2E55B1E6" w14:textId="4469BFD9" w:rsidR="008343F0" w:rsidRDefault="008343F0" w:rsidP="00827070">
            <w:pPr>
              <w:pStyle w:val="Tablewriting"/>
              <w:spacing w:beforeLines="60" w:before="144" w:afterLines="60" w:after="144"/>
              <w:jc w:val="center"/>
            </w:pPr>
            <w:r>
              <w:t>13045N</w:t>
            </w:r>
          </w:p>
        </w:tc>
        <w:tc>
          <w:tcPr>
            <w:tcW w:w="3704" w:type="dxa"/>
          </w:tcPr>
          <w:p w14:paraId="28969FAB" w14:textId="5027F01E" w:rsidR="008343F0" w:rsidRPr="00057192" w:rsidRDefault="008343F0" w:rsidP="00827070">
            <w:pPr>
              <w:pStyle w:val="Tablewriting"/>
              <w:spacing w:beforeLines="60" w:before="144" w:afterLines="60" w:after="144"/>
            </w:pPr>
            <w:r w:rsidRPr="00057192">
              <w:t>nusinersen 12 mg/5 mL intrathecal injection, 5 mL vial</w:t>
            </w:r>
          </w:p>
        </w:tc>
        <w:tc>
          <w:tcPr>
            <w:tcW w:w="709" w:type="dxa"/>
          </w:tcPr>
          <w:p w14:paraId="3578382A" w14:textId="27F1BA8F" w:rsidR="008343F0" w:rsidRDefault="008343F0" w:rsidP="00827070">
            <w:pPr>
              <w:pStyle w:val="Tablewriting"/>
              <w:spacing w:beforeLines="60" w:before="144" w:afterLines="60" w:after="144"/>
              <w:jc w:val="center"/>
            </w:pPr>
            <w:r>
              <w:t>1</w:t>
            </w:r>
          </w:p>
        </w:tc>
        <w:tc>
          <w:tcPr>
            <w:tcW w:w="709" w:type="dxa"/>
          </w:tcPr>
          <w:p w14:paraId="600F8350" w14:textId="7F8EB871" w:rsidR="008343F0" w:rsidRDefault="008343F0" w:rsidP="00827070">
            <w:pPr>
              <w:pStyle w:val="Tablewriting"/>
              <w:spacing w:beforeLines="60" w:before="144" w:afterLines="60" w:after="144"/>
              <w:jc w:val="center"/>
            </w:pPr>
            <w:r>
              <w:t>0</w:t>
            </w:r>
          </w:p>
        </w:tc>
        <w:tc>
          <w:tcPr>
            <w:tcW w:w="1275" w:type="dxa"/>
          </w:tcPr>
          <w:p w14:paraId="4E2D8F05" w14:textId="33179D35" w:rsidR="008343F0" w:rsidRDefault="008343F0" w:rsidP="00827070">
            <w:pPr>
              <w:pStyle w:val="Tablewriting"/>
              <w:spacing w:beforeLines="60" w:before="144" w:afterLines="60" w:after="144"/>
            </w:pPr>
            <w:r>
              <w:t>$104,548.67</w:t>
            </w:r>
          </w:p>
        </w:tc>
        <w:tc>
          <w:tcPr>
            <w:tcW w:w="1698" w:type="dxa"/>
            <w:vMerge/>
          </w:tcPr>
          <w:p w14:paraId="44D48F6E" w14:textId="77777777" w:rsidR="008343F0" w:rsidRPr="00A35800" w:rsidDel="00EE2BBB" w:rsidRDefault="008343F0" w:rsidP="00827070">
            <w:pPr>
              <w:pStyle w:val="Tablewriting"/>
              <w:spacing w:beforeLines="60" w:before="144" w:afterLines="60" w:after="144"/>
            </w:pPr>
          </w:p>
        </w:tc>
      </w:tr>
    </w:tbl>
    <w:p w14:paraId="10647E7A" w14:textId="73A9298B" w:rsidR="00FC004B" w:rsidRPr="00CE3334" w:rsidRDefault="00FC004B" w:rsidP="00FC004B">
      <w:pPr>
        <w:rPr>
          <w:sz w:val="20"/>
          <w:szCs w:val="20"/>
        </w:rPr>
      </w:pPr>
      <w:r w:rsidRPr="00CE3334">
        <w:rPr>
          <w:sz w:val="20"/>
          <w:szCs w:val="20"/>
        </w:rPr>
        <w:t>Notes:</w:t>
      </w:r>
    </w:p>
    <w:p w14:paraId="693AA9E5" w14:textId="77777777" w:rsidR="00CE3334" w:rsidRPr="00CE3334" w:rsidRDefault="00CE3334" w:rsidP="00CE3334">
      <w:pPr>
        <w:pStyle w:val="ListParagraph"/>
        <w:numPr>
          <w:ilvl w:val="0"/>
          <w:numId w:val="24"/>
        </w:numPr>
        <w:rPr>
          <w:sz w:val="20"/>
          <w:szCs w:val="20"/>
        </w:rPr>
      </w:pPr>
      <w:r w:rsidRPr="00CE3334">
        <w:rPr>
          <w:sz w:val="20"/>
          <w:szCs w:val="20"/>
        </w:rPr>
        <w:t>No increase in the maximum quantity or number of units may be authorised.</w:t>
      </w:r>
    </w:p>
    <w:p w14:paraId="0503BF6E" w14:textId="77777777" w:rsidR="00CE3334" w:rsidRPr="00CE3334" w:rsidRDefault="00CE3334" w:rsidP="00CE3334">
      <w:pPr>
        <w:pStyle w:val="ListParagraph"/>
        <w:numPr>
          <w:ilvl w:val="0"/>
          <w:numId w:val="24"/>
        </w:numPr>
        <w:rPr>
          <w:sz w:val="20"/>
          <w:szCs w:val="20"/>
        </w:rPr>
      </w:pPr>
      <w:r w:rsidRPr="00CE3334">
        <w:rPr>
          <w:sz w:val="20"/>
          <w:szCs w:val="20"/>
        </w:rPr>
        <w:t>No increase in the maximum number of repeats may be authorised.</w:t>
      </w:r>
    </w:p>
    <w:p w14:paraId="43E931D4" w14:textId="4C63D07A" w:rsidR="00FC004B" w:rsidRPr="00CE3334" w:rsidRDefault="00CE3334" w:rsidP="00FC004B">
      <w:pPr>
        <w:pStyle w:val="ListParagraph"/>
        <w:numPr>
          <w:ilvl w:val="0"/>
          <w:numId w:val="24"/>
        </w:numPr>
        <w:rPr>
          <w:sz w:val="20"/>
          <w:szCs w:val="20"/>
        </w:rPr>
      </w:pPr>
      <w:r w:rsidRPr="00CE3334">
        <w:rPr>
          <w:sz w:val="20"/>
          <w:szCs w:val="20"/>
        </w:rPr>
        <w:t>Special Pricing Arrangements apply.</w:t>
      </w:r>
    </w:p>
    <w:p w14:paraId="2954E7DC" w14:textId="2080AFDA" w:rsidR="00F06A31" w:rsidRDefault="004C3186" w:rsidP="00F06A31">
      <w:pPr>
        <w:pStyle w:val="Heading3"/>
      </w:pPr>
      <w:r w:rsidDel="00EE2BBB">
        <w:t>Restriction</w:t>
      </w:r>
      <w:r w:rsidR="004A215D">
        <w:t xml:space="preserve"> (abridged)</w:t>
      </w:r>
    </w:p>
    <w:p w14:paraId="2DD404C9" w14:textId="57281047" w:rsidR="00682F30" w:rsidRDefault="009323FC" w:rsidP="00E024C0">
      <w:r>
        <w:t>P</w:t>
      </w:r>
      <w:r w:rsidR="00236D01" w:rsidRPr="00797843">
        <w:t>atients must</w:t>
      </w:r>
      <w:r w:rsidR="00682F30">
        <w:t>:</w:t>
      </w:r>
    </w:p>
    <w:p w14:paraId="1E3FDCB1" w14:textId="77777777" w:rsidR="00682F30" w:rsidRDefault="00682F30" w:rsidP="00682F30">
      <w:pPr>
        <w:pStyle w:val="ListParagraph"/>
        <w:numPr>
          <w:ilvl w:val="0"/>
          <w:numId w:val="46"/>
        </w:numPr>
      </w:pPr>
      <w:r>
        <w:t>have g</w:t>
      </w:r>
      <w:r w:rsidR="002D2F08" w:rsidRPr="00F02E16">
        <w:t>enetic confirmation of</w:t>
      </w:r>
      <w:r>
        <w:t xml:space="preserve"> </w:t>
      </w:r>
      <w:r w:rsidR="002D2F08" w:rsidRPr="00F02E16">
        <w:t xml:space="preserve">5q homozygous deletion of the SMN1 gene </w:t>
      </w:r>
      <w:r>
        <w:t xml:space="preserve">or </w:t>
      </w:r>
      <w:r w:rsidR="002D2F08" w:rsidRPr="00F02E16">
        <w:t>deletion of one copy of the SMN1 gene in addition to a pathogenic/likely pathogenic variant in the remaining single copy of the SMN1 gene</w:t>
      </w:r>
      <w:r>
        <w:t>.</w:t>
      </w:r>
    </w:p>
    <w:p w14:paraId="628B7629" w14:textId="794FEA08" w:rsidR="00E3190B" w:rsidRDefault="00E3190B" w:rsidP="00682F30">
      <w:pPr>
        <w:pStyle w:val="ListParagraph"/>
        <w:numPr>
          <w:ilvl w:val="0"/>
          <w:numId w:val="46"/>
        </w:numPr>
        <w:spacing w:after="0"/>
      </w:pPr>
      <w:r w:rsidRPr="00F02E16">
        <w:t>not be receiving invasive permanent assisted ventilation in the absence of a potentially reversible cause while being treated</w:t>
      </w:r>
      <w:r w:rsidR="00682F30">
        <w:t xml:space="preserve">. </w:t>
      </w:r>
    </w:p>
    <w:p w14:paraId="1B40E7AD" w14:textId="77777777" w:rsidR="00E3190B" w:rsidRDefault="00E3190B" w:rsidP="00E3190B">
      <w:pPr>
        <w:pStyle w:val="ListParagraph"/>
        <w:numPr>
          <w:ilvl w:val="0"/>
          <w:numId w:val="39"/>
        </w:numPr>
      </w:pPr>
      <w:r>
        <w:t xml:space="preserve">be treated by: </w:t>
      </w:r>
    </w:p>
    <w:p w14:paraId="24049717" w14:textId="77777777" w:rsidR="00E3190B" w:rsidRDefault="00E3190B" w:rsidP="00E3190B">
      <w:pPr>
        <w:pStyle w:val="ListParagraph"/>
        <w:numPr>
          <w:ilvl w:val="0"/>
          <w:numId w:val="40"/>
        </w:numPr>
      </w:pPr>
      <w:r w:rsidRPr="00F02E16">
        <w:t>a specialist medical practitioner experienced in the diagnosis/management of SMA; OR</w:t>
      </w:r>
    </w:p>
    <w:p w14:paraId="5F250C85" w14:textId="77777777" w:rsidR="00E3190B" w:rsidRDefault="00E3190B" w:rsidP="00E3190B">
      <w:pPr>
        <w:pStyle w:val="ListParagraph"/>
        <w:numPr>
          <w:ilvl w:val="0"/>
          <w:numId w:val="40"/>
        </w:numPr>
      </w:pPr>
      <w:r w:rsidRPr="00F02E16">
        <w:t>a medical practitioner who has been directed to prescribe this benefit by a specialist medical practitioner experienced in the diagnosis/management of SMA</w:t>
      </w:r>
    </w:p>
    <w:p w14:paraId="60AE0085" w14:textId="77777777" w:rsidR="00682F30" w:rsidRDefault="00682F30" w:rsidP="00682F30">
      <w:pPr>
        <w:pStyle w:val="ListParagraph"/>
        <w:spacing w:after="0"/>
        <w:ind w:left="1440"/>
      </w:pPr>
    </w:p>
    <w:p w14:paraId="4381D6C0" w14:textId="76EEB0B2" w:rsidR="00ED4B17" w:rsidRPr="00DA6EFD" w:rsidRDefault="004D2C10" w:rsidP="00ED4B17">
      <w:r>
        <w:t xml:space="preserve">If </w:t>
      </w:r>
      <w:r w:rsidR="00E024C0">
        <w:t xml:space="preserve">a </w:t>
      </w:r>
      <w:r>
        <w:t>p</w:t>
      </w:r>
      <w:r w:rsidR="002C1750">
        <w:t xml:space="preserve">atient </w:t>
      </w:r>
      <w:r w:rsidR="00E024C0">
        <w:t>continues</w:t>
      </w:r>
      <w:r w:rsidR="002C1750">
        <w:t xml:space="preserve"> </w:t>
      </w:r>
      <w:r w:rsidR="00E024C0">
        <w:t>treatment</w:t>
      </w:r>
      <w:r w:rsidR="002C1750">
        <w:t xml:space="preserve"> with nusinersen </w:t>
      </w:r>
      <w:r w:rsidR="00E024C0">
        <w:t>beyond the first</w:t>
      </w:r>
      <w:r w:rsidR="002D2F08" w:rsidRPr="00F02E16">
        <w:t xml:space="preserve"> 104 </w:t>
      </w:r>
      <w:r w:rsidR="00E024C0">
        <w:t xml:space="preserve">weeks of treatment, </w:t>
      </w:r>
      <w:r w:rsidR="002C69B5">
        <w:t xml:space="preserve">a </w:t>
      </w:r>
      <w:r w:rsidR="00ED4B17" w:rsidRPr="00DA6EFD">
        <w:t xml:space="preserve">comprehensive assessment must be undertaken periodically </w:t>
      </w:r>
      <w:r w:rsidR="002C69B5">
        <w:t xml:space="preserve">(at least every six months) </w:t>
      </w:r>
      <w:r w:rsidR="00ED4B17" w:rsidRPr="00DA6EFD">
        <w:t>and documented, involving the patient and the treating physician to establish agreement that treatment is continuing to produce a clinically meaningful response.</w:t>
      </w:r>
    </w:p>
    <w:p w14:paraId="6BE334BD" w14:textId="77777777" w:rsidR="00ED4B17" w:rsidRPr="00DA6EFD" w:rsidRDefault="00ED4B17" w:rsidP="00ED4B17">
      <w:r w:rsidRPr="00DA6EFD">
        <w:lastRenderedPageBreak/>
        <w:t>A clinically meaningful response is present where an improvement, stabilisation or minimal decline in symptoms has occurred as a result of this drug treatment and where there is agreement between the treating physician and patient over what constitutes improvement, stabilisation, or minimal decline.</w:t>
      </w:r>
    </w:p>
    <w:p w14:paraId="066B1D51" w14:textId="77777777" w:rsidR="00ED4B17" w:rsidRPr="00DA6EFD" w:rsidRDefault="00ED4B17" w:rsidP="00ED4B17">
      <w:r w:rsidRPr="00DA6EFD">
        <w:t>PBS subsidy must cease if there is no agreement on whether a clinically meaningful response is present.</w:t>
      </w:r>
    </w:p>
    <w:p w14:paraId="245A16BE" w14:textId="4CD9481F" w:rsidR="00F06A31" w:rsidRDefault="00ED4B17" w:rsidP="00F06A31">
      <w:r w:rsidRPr="00DA6EFD">
        <w:t>In undertaking comprehensive assessments, where practical, a clinically meaningful response assessment encompasses the patient's motor function as assessed using an instrument like the Revised Upper Limb Module (RULM), Hammersmith Functional Motor Scale - Expanded (HFMSE) or 6-minute walk test (6MWT), and the patient's quality of life including, but not limited to, level of independence. Quality of life may be informed by use of the SMA Health Index (SMA-HI) or SMA Functional Rating Scale (SMAFRS).</w:t>
      </w:r>
    </w:p>
    <w:p w14:paraId="22433632" w14:textId="37F265A1" w:rsidR="006775F1" w:rsidRPr="006775F1" w:rsidDel="00EE2BBB" w:rsidRDefault="006775F1" w:rsidP="00A35800">
      <w:r w:rsidRPr="006775F1" w:rsidDel="00EE2BBB">
        <w:t xml:space="preserve">For </w:t>
      </w:r>
      <w:r w:rsidR="00835337" w:rsidDel="00EE2BBB">
        <w:t xml:space="preserve">details of the current PBS listing refer to the </w:t>
      </w:r>
      <w:hyperlink r:id="rId10" w:history="1">
        <w:r w:rsidR="00835337" w:rsidRPr="00645D51" w:rsidDel="00EE2BBB">
          <w:rPr>
            <w:rStyle w:val="Hyperlink"/>
          </w:rPr>
          <w:t>PBS website</w:t>
        </w:r>
      </w:hyperlink>
      <w:r w:rsidR="00835337" w:rsidDel="00EE2BBB">
        <w:rPr>
          <w:rStyle w:val="Hyperlink"/>
        </w:rPr>
        <w:t>.</w:t>
      </w:r>
    </w:p>
    <w:p w14:paraId="39EF75ED" w14:textId="73256AB5" w:rsidR="00675BB1" w:rsidRDefault="00675BB1" w:rsidP="00CF5E22">
      <w:pPr>
        <w:pStyle w:val="Heading3"/>
      </w:pPr>
      <w:r w:rsidRPr="00675BB1" w:rsidDel="00EE2BBB">
        <w:t>Changes to listing</w:t>
      </w:r>
    </w:p>
    <w:p w14:paraId="303C5178" w14:textId="120331C9" w:rsidR="00A3080E" w:rsidRDefault="000A3A37" w:rsidP="000A3A37">
      <w:pPr>
        <w:pStyle w:val="Tabletitle"/>
      </w:pPr>
      <w:r w:rsidRPr="001420B3" w:rsidDel="00EE2BBB">
        <w:t xml:space="preserve">Table </w:t>
      </w:r>
      <w:r w:rsidR="00491F23">
        <w:t>2</w:t>
      </w:r>
      <w:r w:rsidRPr="001420B3" w:rsidDel="00EE2BBB">
        <w:t xml:space="preserve">: </w:t>
      </w:r>
      <w:r w:rsidR="007869EC">
        <w:t>Chronology</w:t>
      </w:r>
      <w:r>
        <w:t xml:space="preserve"> of PBS-listings </w:t>
      </w:r>
      <w:r w:rsidR="00491F23">
        <w:t>for SMA</w:t>
      </w:r>
      <w:r w:rsidDel="00EE2BBB">
        <w:t xml:space="preserve"> </w:t>
      </w:r>
    </w:p>
    <w:tbl>
      <w:tblPr>
        <w:tblStyle w:val="TableGrid"/>
        <w:tblW w:w="0" w:type="auto"/>
        <w:tblLook w:val="04A0" w:firstRow="1" w:lastRow="0" w:firstColumn="1" w:lastColumn="0" w:noHBand="0" w:noVBand="1"/>
      </w:tblPr>
      <w:tblGrid>
        <w:gridCol w:w="1696"/>
        <w:gridCol w:w="7251"/>
      </w:tblGrid>
      <w:tr w:rsidR="003063DB" w:rsidRPr="007B6453" w14:paraId="3317F7B3" w14:textId="77777777" w:rsidTr="00F6376A">
        <w:trPr>
          <w:tblHeader/>
        </w:trPr>
        <w:tc>
          <w:tcPr>
            <w:tcW w:w="1696" w:type="dxa"/>
            <w:shd w:val="clear" w:color="auto" w:fill="BFBFBF" w:themeFill="background1" w:themeFillShade="BF"/>
          </w:tcPr>
          <w:p w14:paraId="24630AD2" w14:textId="26D860AB" w:rsidR="003063DB" w:rsidRPr="00804BA3" w:rsidRDefault="00804BA3" w:rsidP="00444600">
            <w:pPr>
              <w:spacing w:before="60" w:after="60"/>
              <w:rPr>
                <w:b/>
                <w:bCs/>
                <w:sz w:val="20"/>
                <w:szCs w:val="20"/>
              </w:rPr>
            </w:pPr>
            <w:r w:rsidRPr="00804BA3">
              <w:rPr>
                <w:b/>
                <w:bCs/>
                <w:sz w:val="20"/>
                <w:szCs w:val="20"/>
              </w:rPr>
              <w:t>Date</w:t>
            </w:r>
          </w:p>
        </w:tc>
        <w:tc>
          <w:tcPr>
            <w:tcW w:w="7251" w:type="dxa"/>
            <w:shd w:val="clear" w:color="auto" w:fill="BFBFBF" w:themeFill="background1" w:themeFillShade="BF"/>
          </w:tcPr>
          <w:p w14:paraId="06A2EAD7" w14:textId="2E4B6A24" w:rsidR="003063DB" w:rsidRPr="00804BA3" w:rsidRDefault="00804BA3" w:rsidP="00444600">
            <w:pPr>
              <w:spacing w:before="60" w:after="60"/>
              <w:rPr>
                <w:b/>
                <w:bCs/>
                <w:sz w:val="20"/>
                <w:szCs w:val="20"/>
              </w:rPr>
            </w:pPr>
            <w:r w:rsidRPr="00804BA3">
              <w:rPr>
                <w:b/>
                <w:bCs/>
                <w:sz w:val="20"/>
                <w:szCs w:val="20"/>
              </w:rPr>
              <w:t>Change to listing</w:t>
            </w:r>
          </w:p>
        </w:tc>
      </w:tr>
      <w:tr w:rsidR="003063DB" w:rsidRPr="007B6453" w14:paraId="124E92E3" w14:textId="77777777" w:rsidTr="00804BA3">
        <w:tc>
          <w:tcPr>
            <w:tcW w:w="1696" w:type="dxa"/>
          </w:tcPr>
          <w:p w14:paraId="39864D58" w14:textId="0B7C4B21" w:rsidR="003063DB" w:rsidRPr="007B6453" w:rsidRDefault="00804BA3" w:rsidP="00444600">
            <w:pPr>
              <w:spacing w:before="60" w:after="60"/>
              <w:rPr>
                <w:sz w:val="20"/>
                <w:szCs w:val="20"/>
              </w:rPr>
            </w:pPr>
            <w:r>
              <w:rPr>
                <w:sz w:val="20"/>
                <w:szCs w:val="20"/>
              </w:rPr>
              <w:t xml:space="preserve">1 </w:t>
            </w:r>
            <w:r w:rsidR="003063DB" w:rsidRPr="007B6453">
              <w:rPr>
                <w:sz w:val="20"/>
                <w:szCs w:val="20"/>
              </w:rPr>
              <w:t xml:space="preserve">June 2018 </w:t>
            </w:r>
          </w:p>
        </w:tc>
        <w:tc>
          <w:tcPr>
            <w:tcW w:w="7251" w:type="dxa"/>
          </w:tcPr>
          <w:p w14:paraId="7051EF19" w14:textId="70F211B5" w:rsidR="003063DB" w:rsidRPr="007B6453" w:rsidRDefault="00804BA3" w:rsidP="00444600">
            <w:pPr>
              <w:spacing w:before="60" w:after="60"/>
              <w:rPr>
                <w:sz w:val="20"/>
                <w:szCs w:val="20"/>
              </w:rPr>
            </w:pPr>
            <w:r>
              <w:rPr>
                <w:sz w:val="20"/>
                <w:szCs w:val="20"/>
              </w:rPr>
              <w:t xml:space="preserve">Nusinersen was listed for </w:t>
            </w:r>
            <w:r w:rsidRPr="00804BA3">
              <w:rPr>
                <w:sz w:val="20"/>
                <w:szCs w:val="20"/>
              </w:rPr>
              <w:t xml:space="preserve">Type I, II, IIIa SMA </w:t>
            </w:r>
          </w:p>
        </w:tc>
      </w:tr>
      <w:tr w:rsidR="003063DB" w:rsidRPr="007B6453" w14:paraId="1AD30AB1" w14:textId="77777777" w:rsidTr="00804BA3">
        <w:tc>
          <w:tcPr>
            <w:tcW w:w="1696" w:type="dxa"/>
          </w:tcPr>
          <w:p w14:paraId="6B65CB3B" w14:textId="4F51347E" w:rsidR="003063DB" w:rsidRPr="007B6453" w:rsidRDefault="00804BA3" w:rsidP="00444600">
            <w:pPr>
              <w:spacing w:before="60" w:after="60"/>
              <w:rPr>
                <w:sz w:val="20"/>
                <w:szCs w:val="20"/>
              </w:rPr>
            </w:pPr>
            <w:r>
              <w:rPr>
                <w:sz w:val="20"/>
                <w:szCs w:val="20"/>
              </w:rPr>
              <w:t xml:space="preserve">1 </w:t>
            </w:r>
            <w:r w:rsidR="003063DB" w:rsidRPr="007B6453">
              <w:rPr>
                <w:sz w:val="20"/>
                <w:szCs w:val="20"/>
              </w:rPr>
              <w:t xml:space="preserve">December 2020 </w:t>
            </w:r>
          </w:p>
        </w:tc>
        <w:tc>
          <w:tcPr>
            <w:tcW w:w="7251" w:type="dxa"/>
          </w:tcPr>
          <w:p w14:paraId="3B327C30" w14:textId="5D8ECD9D" w:rsidR="003063DB" w:rsidRPr="007B6453" w:rsidRDefault="00804BA3" w:rsidP="00444600">
            <w:pPr>
              <w:spacing w:before="60" w:after="60"/>
              <w:rPr>
                <w:sz w:val="20"/>
                <w:szCs w:val="20"/>
              </w:rPr>
            </w:pPr>
            <w:r>
              <w:rPr>
                <w:sz w:val="20"/>
                <w:szCs w:val="20"/>
              </w:rPr>
              <w:t>Nusinersen</w:t>
            </w:r>
            <w:r w:rsidRPr="00804BA3">
              <w:rPr>
                <w:sz w:val="20"/>
                <w:szCs w:val="20"/>
              </w:rPr>
              <w:t xml:space="preserve"> listed for pre-symptomatic SMA (1</w:t>
            </w:r>
            <w:r w:rsidR="007C353B">
              <w:rPr>
                <w:sz w:val="20"/>
                <w:szCs w:val="20"/>
              </w:rPr>
              <w:t xml:space="preserve"> or </w:t>
            </w:r>
            <w:r w:rsidRPr="00804BA3">
              <w:rPr>
                <w:sz w:val="20"/>
                <w:szCs w:val="20"/>
              </w:rPr>
              <w:t xml:space="preserve">2 copies of </w:t>
            </w:r>
            <w:r w:rsidR="00444600">
              <w:rPr>
                <w:sz w:val="20"/>
                <w:szCs w:val="20"/>
              </w:rPr>
              <w:t xml:space="preserve">the </w:t>
            </w:r>
            <w:r w:rsidRPr="00804BA3">
              <w:rPr>
                <w:sz w:val="20"/>
                <w:szCs w:val="20"/>
              </w:rPr>
              <w:t>SMN2 gene)</w:t>
            </w:r>
          </w:p>
        </w:tc>
      </w:tr>
      <w:tr w:rsidR="003063DB" w:rsidRPr="007B6453" w14:paraId="1FEC85ED" w14:textId="77777777" w:rsidTr="00804BA3">
        <w:tc>
          <w:tcPr>
            <w:tcW w:w="1696" w:type="dxa"/>
          </w:tcPr>
          <w:p w14:paraId="2D4DE631" w14:textId="320EB626" w:rsidR="003063DB" w:rsidRPr="007B6453" w:rsidRDefault="00804BA3" w:rsidP="00444600">
            <w:pPr>
              <w:spacing w:before="60" w:after="60"/>
              <w:rPr>
                <w:sz w:val="20"/>
                <w:szCs w:val="20"/>
              </w:rPr>
            </w:pPr>
            <w:r>
              <w:rPr>
                <w:sz w:val="20"/>
                <w:szCs w:val="20"/>
              </w:rPr>
              <w:t xml:space="preserve">1 </w:t>
            </w:r>
            <w:r w:rsidR="007B6453">
              <w:rPr>
                <w:sz w:val="20"/>
                <w:szCs w:val="20"/>
              </w:rPr>
              <w:t>August 2021</w:t>
            </w:r>
          </w:p>
        </w:tc>
        <w:tc>
          <w:tcPr>
            <w:tcW w:w="7251" w:type="dxa"/>
          </w:tcPr>
          <w:p w14:paraId="2084C0FE" w14:textId="2FED1ADD" w:rsidR="003063DB" w:rsidRPr="00804BA3" w:rsidRDefault="00804BA3" w:rsidP="00444600">
            <w:pPr>
              <w:spacing w:before="60" w:after="60"/>
              <w:rPr>
                <w:sz w:val="20"/>
                <w:szCs w:val="20"/>
              </w:rPr>
            </w:pPr>
            <w:r w:rsidRPr="00804BA3">
              <w:rPr>
                <w:sz w:val="20"/>
                <w:szCs w:val="20"/>
              </w:rPr>
              <w:t xml:space="preserve">Risdiplam listed for Type I, II, IIIa SMA </w:t>
            </w:r>
          </w:p>
        </w:tc>
      </w:tr>
      <w:tr w:rsidR="003063DB" w:rsidRPr="007B6453" w14:paraId="339EE43B" w14:textId="77777777" w:rsidTr="00804BA3">
        <w:tc>
          <w:tcPr>
            <w:tcW w:w="1696" w:type="dxa"/>
          </w:tcPr>
          <w:p w14:paraId="4FDA8AAC" w14:textId="21D15A42" w:rsidR="003063DB" w:rsidRPr="007B6453" w:rsidRDefault="00804BA3" w:rsidP="00444600">
            <w:pPr>
              <w:spacing w:before="60" w:after="60"/>
              <w:rPr>
                <w:sz w:val="20"/>
                <w:szCs w:val="20"/>
              </w:rPr>
            </w:pPr>
            <w:r>
              <w:rPr>
                <w:sz w:val="20"/>
                <w:szCs w:val="20"/>
              </w:rPr>
              <w:t xml:space="preserve">1 </w:t>
            </w:r>
            <w:r w:rsidR="007B6453">
              <w:rPr>
                <w:sz w:val="20"/>
                <w:szCs w:val="20"/>
              </w:rPr>
              <w:t>May 2022</w:t>
            </w:r>
          </w:p>
        </w:tc>
        <w:tc>
          <w:tcPr>
            <w:tcW w:w="7251" w:type="dxa"/>
          </w:tcPr>
          <w:p w14:paraId="0E06BD75" w14:textId="1D443C3E" w:rsidR="003063DB" w:rsidRPr="00804BA3" w:rsidRDefault="00804BA3" w:rsidP="00444600">
            <w:pPr>
              <w:spacing w:before="60" w:after="60"/>
              <w:rPr>
                <w:sz w:val="20"/>
                <w:szCs w:val="20"/>
              </w:rPr>
            </w:pPr>
            <w:r w:rsidRPr="00804BA3">
              <w:rPr>
                <w:sz w:val="20"/>
                <w:szCs w:val="20"/>
              </w:rPr>
              <w:t xml:space="preserve">ONA listed for Type I and presymptomatic </w:t>
            </w:r>
            <w:r w:rsidR="00444600" w:rsidRPr="00804BA3">
              <w:rPr>
                <w:sz w:val="20"/>
                <w:szCs w:val="20"/>
              </w:rPr>
              <w:t>(1</w:t>
            </w:r>
            <w:r w:rsidR="00444600">
              <w:rPr>
                <w:sz w:val="20"/>
                <w:szCs w:val="20"/>
              </w:rPr>
              <w:t xml:space="preserve"> or </w:t>
            </w:r>
            <w:r w:rsidR="00444600" w:rsidRPr="00804BA3">
              <w:rPr>
                <w:sz w:val="20"/>
                <w:szCs w:val="20"/>
              </w:rPr>
              <w:t xml:space="preserve">2 copies of </w:t>
            </w:r>
            <w:r w:rsidR="00444600">
              <w:rPr>
                <w:sz w:val="20"/>
                <w:szCs w:val="20"/>
              </w:rPr>
              <w:t xml:space="preserve">the </w:t>
            </w:r>
            <w:r w:rsidR="00444600" w:rsidRPr="00804BA3">
              <w:rPr>
                <w:sz w:val="20"/>
                <w:szCs w:val="20"/>
              </w:rPr>
              <w:t>SMN2 gene)</w:t>
            </w:r>
          </w:p>
        </w:tc>
      </w:tr>
      <w:tr w:rsidR="00804BA3" w:rsidRPr="007B6453" w14:paraId="166AF2B6" w14:textId="77777777" w:rsidTr="00804BA3">
        <w:tc>
          <w:tcPr>
            <w:tcW w:w="1696" w:type="dxa"/>
          </w:tcPr>
          <w:p w14:paraId="716070F3" w14:textId="12E19289" w:rsidR="00804BA3" w:rsidRDefault="00804BA3" w:rsidP="00444600">
            <w:pPr>
              <w:spacing w:before="60" w:after="60"/>
              <w:rPr>
                <w:sz w:val="20"/>
                <w:szCs w:val="20"/>
              </w:rPr>
            </w:pPr>
            <w:r>
              <w:rPr>
                <w:sz w:val="20"/>
                <w:szCs w:val="20"/>
              </w:rPr>
              <w:t xml:space="preserve">1 August 2022 </w:t>
            </w:r>
          </w:p>
        </w:tc>
        <w:tc>
          <w:tcPr>
            <w:tcW w:w="7251" w:type="dxa"/>
          </w:tcPr>
          <w:p w14:paraId="1BDA07D3" w14:textId="57F5474D" w:rsidR="00804BA3" w:rsidRPr="00804BA3" w:rsidRDefault="00804BA3" w:rsidP="00444600">
            <w:pPr>
              <w:spacing w:before="60" w:after="60"/>
              <w:rPr>
                <w:sz w:val="20"/>
                <w:szCs w:val="20"/>
              </w:rPr>
            </w:pPr>
            <w:r w:rsidRPr="00804BA3">
              <w:rPr>
                <w:sz w:val="20"/>
                <w:szCs w:val="20"/>
              </w:rPr>
              <w:t xml:space="preserve">Nusinersen </w:t>
            </w:r>
            <w:r w:rsidR="005B3F57">
              <w:rPr>
                <w:sz w:val="20"/>
                <w:szCs w:val="20"/>
              </w:rPr>
              <w:t>listed for adult patients with SMA</w:t>
            </w:r>
          </w:p>
        </w:tc>
      </w:tr>
      <w:tr w:rsidR="003063DB" w:rsidRPr="007B6453" w14:paraId="5911AA8C" w14:textId="77777777" w:rsidTr="00804BA3">
        <w:tc>
          <w:tcPr>
            <w:tcW w:w="1696" w:type="dxa"/>
          </w:tcPr>
          <w:p w14:paraId="71A68425" w14:textId="2FEFC6A1" w:rsidR="003063DB" w:rsidRPr="007B6453" w:rsidRDefault="00804BA3" w:rsidP="00444600">
            <w:pPr>
              <w:spacing w:before="60" w:after="60"/>
              <w:rPr>
                <w:sz w:val="20"/>
                <w:szCs w:val="20"/>
              </w:rPr>
            </w:pPr>
            <w:r>
              <w:rPr>
                <w:sz w:val="20"/>
                <w:szCs w:val="20"/>
              </w:rPr>
              <w:t xml:space="preserve">1 </w:t>
            </w:r>
            <w:r w:rsidR="007B6453">
              <w:rPr>
                <w:sz w:val="20"/>
                <w:szCs w:val="20"/>
              </w:rPr>
              <w:t>October 2023</w:t>
            </w:r>
          </w:p>
        </w:tc>
        <w:tc>
          <w:tcPr>
            <w:tcW w:w="7251" w:type="dxa"/>
          </w:tcPr>
          <w:p w14:paraId="1C28820B" w14:textId="34C9440E" w:rsidR="003063DB" w:rsidRPr="00804BA3" w:rsidRDefault="00804BA3" w:rsidP="00444600">
            <w:pPr>
              <w:spacing w:before="60" w:after="60"/>
              <w:rPr>
                <w:sz w:val="20"/>
                <w:szCs w:val="20"/>
              </w:rPr>
            </w:pPr>
            <w:r>
              <w:rPr>
                <w:sz w:val="20"/>
                <w:szCs w:val="20"/>
              </w:rPr>
              <w:t>Risdiplam</w:t>
            </w:r>
            <w:r w:rsidRPr="00804BA3">
              <w:rPr>
                <w:sz w:val="20"/>
                <w:szCs w:val="20"/>
              </w:rPr>
              <w:t xml:space="preserve"> listed for adult </w:t>
            </w:r>
            <w:r w:rsidR="005B3F57">
              <w:rPr>
                <w:sz w:val="20"/>
                <w:szCs w:val="20"/>
              </w:rPr>
              <w:t xml:space="preserve">patients with </w:t>
            </w:r>
            <w:r w:rsidRPr="00804BA3">
              <w:rPr>
                <w:sz w:val="20"/>
                <w:szCs w:val="20"/>
              </w:rPr>
              <w:t>SMA, presymptomatic SMA (</w:t>
            </w:r>
            <w:r w:rsidR="00444600" w:rsidRPr="00804BA3">
              <w:rPr>
                <w:sz w:val="20"/>
                <w:szCs w:val="20"/>
              </w:rPr>
              <w:t>1</w:t>
            </w:r>
            <w:r w:rsidR="00444600">
              <w:rPr>
                <w:sz w:val="20"/>
                <w:szCs w:val="20"/>
              </w:rPr>
              <w:t xml:space="preserve"> or </w:t>
            </w:r>
            <w:r w:rsidR="00444600" w:rsidRPr="00804BA3">
              <w:rPr>
                <w:sz w:val="20"/>
                <w:szCs w:val="20"/>
              </w:rPr>
              <w:t xml:space="preserve">2 copies of </w:t>
            </w:r>
            <w:r w:rsidR="00444600">
              <w:rPr>
                <w:sz w:val="20"/>
                <w:szCs w:val="20"/>
              </w:rPr>
              <w:t xml:space="preserve">the </w:t>
            </w:r>
            <w:r w:rsidR="00444600" w:rsidRPr="00804BA3">
              <w:rPr>
                <w:sz w:val="20"/>
                <w:szCs w:val="20"/>
              </w:rPr>
              <w:t>SMN2 gene)</w:t>
            </w:r>
          </w:p>
        </w:tc>
      </w:tr>
      <w:tr w:rsidR="007B6453" w:rsidRPr="007B6453" w14:paraId="123A3C45" w14:textId="77777777" w:rsidTr="00804BA3">
        <w:tc>
          <w:tcPr>
            <w:tcW w:w="1696" w:type="dxa"/>
          </w:tcPr>
          <w:p w14:paraId="09D8AC79" w14:textId="52C4E1D9" w:rsidR="007B6453" w:rsidRDefault="00804BA3" w:rsidP="00444600">
            <w:pPr>
              <w:spacing w:before="60" w:after="60"/>
              <w:rPr>
                <w:sz w:val="20"/>
                <w:szCs w:val="20"/>
              </w:rPr>
            </w:pPr>
            <w:r>
              <w:rPr>
                <w:sz w:val="20"/>
                <w:szCs w:val="20"/>
              </w:rPr>
              <w:t xml:space="preserve">1 August 2024 </w:t>
            </w:r>
          </w:p>
        </w:tc>
        <w:tc>
          <w:tcPr>
            <w:tcW w:w="7251" w:type="dxa"/>
          </w:tcPr>
          <w:p w14:paraId="585D66B6" w14:textId="2E22C1A1" w:rsidR="007B6453" w:rsidRPr="00804BA3" w:rsidRDefault="00804BA3" w:rsidP="00444600">
            <w:pPr>
              <w:spacing w:before="60" w:after="60"/>
              <w:rPr>
                <w:sz w:val="20"/>
                <w:szCs w:val="20"/>
              </w:rPr>
            </w:pPr>
            <w:r w:rsidRPr="00804BA3">
              <w:rPr>
                <w:sz w:val="20"/>
                <w:szCs w:val="20"/>
              </w:rPr>
              <w:t xml:space="preserve">ONA listed for presymptomatic SMA (3 copies of </w:t>
            </w:r>
            <w:r w:rsidR="00444600">
              <w:rPr>
                <w:sz w:val="20"/>
                <w:szCs w:val="20"/>
              </w:rPr>
              <w:t xml:space="preserve">the </w:t>
            </w:r>
            <w:r w:rsidRPr="00804BA3">
              <w:rPr>
                <w:sz w:val="20"/>
                <w:szCs w:val="20"/>
              </w:rPr>
              <w:t xml:space="preserve">SMN2 gene) </w:t>
            </w:r>
          </w:p>
        </w:tc>
      </w:tr>
      <w:tr w:rsidR="00804BA3" w:rsidRPr="007B6453" w14:paraId="4203B1D4" w14:textId="77777777" w:rsidTr="00804BA3">
        <w:tc>
          <w:tcPr>
            <w:tcW w:w="1696" w:type="dxa"/>
          </w:tcPr>
          <w:p w14:paraId="412FF623" w14:textId="6DA61760" w:rsidR="00804BA3" w:rsidRDefault="00804BA3" w:rsidP="00444600">
            <w:pPr>
              <w:spacing w:before="60" w:after="60"/>
              <w:rPr>
                <w:sz w:val="20"/>
                <w:szCs w:val="20"/>
              </w:rPr>
            </w:pPr>
            <w:r>
              <w:rPr>
                <w:sz w:val="20"/>
                <w:szCs w:val="20"/>
              </w:rPr>
              <w:t xml:space="preserve">1 November 2024 </w:t>
            </w:r>
          </w:p>
        </w:tc>
        <w:tc>
          <w:tcPr>
            <w:tcW w:w="7251" w:type="dxa"/>
          </w:tcPr>
          <w:p w14:paraId="680279B3" w14:textId="4B85C0D0" w:rsidR="00804BA3" w:rsidRPr="00804BA3" w:rsidRDefault="00804BA3" w:rsidP="00444600">
            <w:pPr>
              <w:spacing w:before="60" w:after="60"/>
              <w:rPr>
                <w:sz w:val="20"/>
                <w:szCs w:val="20"/>
              </w:rPr>
            </w:pPr>
            <w:r>
              <w:rPr>
                <w:sz w:val="20"/>
                <w:szCs w:val="20"/>
              </w:rPr>
              <w:t>Risdiplam</w:t>
            </w:r>
            <w:r w:rsidRPr="00804BA3">
              <w:rPr>
                <w:sz w:val="20"/>
                <w:szCs w:val="20"/>
              </w:rPr>
              <w:t xml:space="preserve"> listed for presymptomatic SMA (3 copies of </w:t>
            </w:r>
            <w:r w:rsidR="00444600">
              <w:rPr>
                <w:sz w:val="20"/>
                <w:szCs w:val="20"/>
              </w:rPr>
              <w:t xml:space="preserve">the </w:t>
            </w:r>
            <w:r w:rsidRPr="00804BA3">
              <w:rPr>
                <w:sz w:val="20"/>
                <w:szCs w:val="20"/>
              </w:rPr>
              <w:t xml:space="preserve">SMN2 gene) </w:t>
            </w:r>
          </w:p>
        </w:tc>
      </w:tr>
    </w:tbl>
    <w:p w14:paraId="02418685" w14:textId="77777777" w:rsidR="009100D2" w:rsidRDefault="009100D2" w:rsidP="00BF544D"/>
    <w:p w14:paraId="64C94A85" w14:textId="70943EFE" w:rsidR="00BF544D" w:rsidRPr="002F61CA" w:rsidDel="00EE2BBB" w:rsidRDefault="00BF544D" w:rsidP="00BF544D">
      <w:r w:rsidRPr="002F61CA" w:rsidDel="00EE2BBB">
        <w:t xml:space="preserve">Current PBS listing details are available from </w:t>
      </w:r>
      <w:r w:rsidDel="00EE2BBB">
        <w:t xml:space="preserve">the </w:t>
      </w:r>
      <w:hyperlink r:id="rId11" w:history="1">
        <w:r w:rsidRPr="00645D51" w:rsidDel="00EE2BBB">
          <w:rPr>
            <w:rStyle w:val="Hyperlink"/>
          </w:rPr>
          <w:t>PBS website</w:t>
        </w:r>
      </w:hyperlink>
      <w:r w:rsidDel="00EE2BBB">
        <w:t>.</w:t>
      </w:r>
    </w:p>
    <w:p w14:paraId="383E312E" w14:textId="724CF700" w:rsidR="00736041" w:rsidRPr="005E22C2" w:rsidRDefault="00394AEE" w:rsidP="00CF5E22">
      <w:pPr>
        <w:pStyle w:val="Heading2"/>
      </w:pPr>
      <w:r>
        <w:t>Relevant aspects of</w:t>
      </w:r>
      <w:r w:rsidR="00736041" w:rsidRPr="005E22C2">
        <w:t xml:space="preserve"> consideration</w:t>
      </w:r>
      <w:r>
        <w:t xml:space="preserve"> by the Pharmaceutical Benefits Advisory Committee (PBAC)</w:t>
      </w:r>
    </w:p>
    <w:p w14:paraId="24999DEC" w14:textId="6670C230" w:rsidR="009A5777" w:rsidRPr="009A5777" w:rsidRDefault="009A5777" w:rsidP="00A35800">
      <w:pPr>
        <w:rPr>
          <w:b/>
          <w:bCs/>
        </w:rPr>
      </w:pPr>
      <w:r w:rsidRPr="009A5777">
        <w:rPr>
          <w:b/>
          <w:bCs/>
        </w:rPr>
        <w:t>November 2020</w:t>
      </w:r>
    </w:p>
    <w:p w14:paraId="58C64F50" w14:textId="26D253B1" w:rsidR="009A5777" w:rsidRDefault="009A5777" w:rsidP="00A35800">
      <w:r w:rsidRPr="009A5777">
        <w:t xml:space="preserve">The PBAC did not recommend extending the listing of nusinersen to include the treatment of SMA in patients with symptom onset prior to 19 years of age, and removal of the age limit of 18 years for initiation of treatment. The PBAC recognised the high clinical need for effective treatments for adults with SMA. However, the PBAC considered that the resubmission had not adequately defined the appropriate adult population for nusinersen and proposed convening a consultation with experts in the clinical management of adult </w:t>
      </w:r>
      <w:r w:rsidRPr="009A5777">
        <w:lastRenderedPageBreak/>
        <w:t xml:space="preserve">SMA to help resolve the specific issues associated with use of nusinersen in adult patients. The PBAC considered the magnitude of the effect was difficult to quantify and the incremental cost effectiveness ratio (ICER) was &gt;$1,055,000 per QALY and likely underestimated. </w:t>
      </w:r>
    </w:p>
    <w:p w14:paraId="734DD70F" w14:textId="42366259" w:rsidR="009A5777" w:rsidRDefault="009A5777" w:rsidP="00A35800">
      <w:r>
        <w:t xml:space="preserve">For further details refer to </w:t>
      </w:r>
      <w:r w:rsidRPr="00F65F0D">
        <w:t xml:space="preserve">the </w:t>
      </w:r>
      <w:hyperlink r:id="rId12" w:history="1">
        <w:r w:rsidRPr="00481C0E">
          <w:rPr>
            <w:rStyle w:val="Hyperlink"/>
          </w:rPr>
          <w:t>Public Summary Document</w:t>
        </w:r>
      </w:hyperlink>
      <w:r>
        <w:t xml:space="preserve"> </w:t>
      </w:r>
      <w:r w:rsidRPr="00F65F0D">
        <w:t xml:space="preserve">from </w:t>
      </w:r>
      <w:r>
        <w:t>the November 2020 PBAC meeting.</w:t>
      </w:r>
    </w:p>
    <w:p w14:paraId="07D2CFA0" w14:textId="2790079B" w:rsidR="002C1E3F" w:rsidRPr="00481C0E" w:rsidRDefault="002C1E3F" w:rsidP="00A35800">
      <w:pPr>
        <w:rPr>
          <w:b/>
          <w:bCs/>
        </w:rPr>
      </w:pPr>
      <w:r w:rsidRPr="00481C0E">
        <w:rPr>
          <w:b/>
          <w:bCs/>
        </w:rPr>
        <w:t xml:space="preserve">July 2021 </w:t>
      </w:r>
    </w:p>
    <w:p w14:paraId="6D4FCA0A" w14:textId="76536214" w:rsidR="002C1E3F" w:rsidRDefault="006253FF" w:rsidP="00A35800">
      <w:r w:rsidRPr="006253FF">
        <w:t>The PBAC did not recommend extending the listing of nusinersen to include the treatment of SMA in patients with symptom onset prior to 19 years of age, and removal of the age limit of 18 years for initiation of treatment. The PBAC recognised the clinical need for effective treatments for adult SMA. However, the PBAC considered that the adult population most likely to benefit from treatment with nusinersen remained inadequately defined in the resubmission. The PBAC noted that the magnitude and durability of the treatment benefit remained uncertain and considered that the ICER was exceptionally high at the price proposed. The PBAC advised that a substantial price reduction commensurate with the benefit of treatment in adult SMA patients, a Risk Sharing Arrangement (RSA), and a Managed Access Program (MAP) which accounts for the number of patients treated and the number of patients who respond to treatment, would be required to achieve a cost</w:t>
      </w:r>
      <w:r w:rsidR="00372B94">
        <w:t>-</w:t>
      </w:r>
      <w:r w:rsidRPr="006253FF">
        <w:t>effective listing for adult SMA patients.</w:t>
      </w:r>
    </w:p>
    <w:p w14:paraId="01ED0697" w14:textId="649C083A" w:rsidR="006253FF" w:rsidRDefault="006253FF" w:rsidP="00A35800">
      <w:r>
        <w:t xml:space="preserve">For further details refer to </w:t>
      </w:r>
      <w:r w:rsidRPr="00F65F0D">
        <w:t xml:space="preserve">the </w:t>
      </w:r>
      <w:hyperlink r:id="rId13" w:history="1">
        <w:r w:rsidRPr="00481C0E">
          <w:rPr>
            <w:rStyle w:val="Hyperlink"/>
          </w:rPr>
          <w:t>Public Summary Document</w:t>
        </w:r>
      </w:hyperlink>
      <w:r>
        <w:t xml:space="preserve"> </w:t>
      </w:r>
      <w:r w:rsidRPr="00F65F0D">
        <w:t xml:space="preserve">from the </w:t>
      </w:r>
      <w:r>
        <w:t>July 2021 PBAC meeting.</w:t>
      </w:r>
    </w:p>
    <w:p w14:paraId="4255BD1C" w14:textId="5162B953" w:rsidR="003D799E" w:rsidRPr="00481C0E" w:rsidRDefault="003D799E" w:rsidP="00A35800">
      <w:pPr>
        <w:rPr>
          <w:b/>
          <w:bCs/>
        </w:rPr>
      </w:pPr>
      <w:r w:rsidRPr="00481C0E">
        <w:rPr>
          <w:b/>
          <w:bCs/>
        </w:rPr>
        <w:t xml:space="preserve">March 2022 </w:t>
      </w:r>
    </w:p>
    <w:p w14:paraId="073366B6" w14:textId="7D8487FE" w:rsidR="003D799E" w:rsidRDefault="00D24C66" w:rsidP="00A35800">
      <w:r w:rsidRPr="00D24C66">
        <w:t xml:space="preserve">The PBAC recommended the listing of nusinersen for the treatment of adult patients (older than 18 years of age) diagnosed with SMA with symptom onset before 19 years of age (primarily SMA Types II and III), on the basis that it should be available only under special arrangements under Section 100. The PBAC is satisfied that nusinersen provides, for some patients, a significant improvement in efficacy over standard care. The PBAC recognised the clinical need for effective treatments for adults with SMA. The PBAC noted that the changes to the restrictions proposed in the resubmission were based on consultation with patients and clinicians and considered this helped to ensure the adult population most likely to benefit from treatment was sufficiently defined. The PBAC also noted that the sponsor proposed a substantial price reduction in the pre-PBAC response to better reflect the benefit of treatment in adult SMA patients. The sponsor also proposed a </w:t>
      </w:r>
      <w:r w:rsidR="00906E60">
        <w:t xml:space="preserve">RSA </w:t>
      </w:r>
      <w:r w:rsidRPr="00D24C66">
        <w:t>which accounts for the number of patients treated and the number of patients who respond to treatment. The PBAC considered that a review of uptake and continuation rates in adult SMA patients should take place within three years after listing.</w:t>
      </w:r>
    </w:p>
    <w:p w14:paraId="514DA6AE" w14:textId="0021244C" w:rsidR="005C3E25" w:rsidRDefault="002C1E3F" w:rsidP="00A35800">
      <w:r w:rsidRPr="002C1E3F">
        <w:t xml:space="preserve">The PBAC noted that the same approach was used for the financial estimates as in the July 2021 resubmission, with changes to the effective price and the increased discontinuation rate consistent with the restriction requirements for ongoing assessment of response for continuing treatment. The PBAC recalled it previously considered the financial estimates were uncertain and associated with a low level of confidence (paragraph 7.13, nusinersen </w:t>
      </w:r>
      <w:r w:rsidRPr="002C1E3F">
        <w:lastRenderedPageBreak/>
        <w:t xml:space="preserve">PSD, July 2021 PBAC meeting). The PBAC noted that the pre-PBAC response (p3) stated that the uptake is expected to be limited and tempered by patient choice, suitability of spinal access for intrathecal administration and the overall risk-benefit assessment between patient and clinician. The PBAC noted that this was consistent with the modest uptake in the nusinersen access program and with clinical input from the sponsor hearing. </w:t>
      </w:r>
    </w:p>
    <w:p w14:paraId="5E862F38" w14:textId="77777777" w:rsidR="005C3E25" w:rsidRDefault="002C1E3F" w:rsidP="00A35800">
      <w:r w:rsidRPr="002C1E3F">
        <w:t xml:space="preserve">The PBAC considered that given the remaining uncertainty regarding potential uptake and continuation rates in adult SMA patients, a review should take place within three years after listing. The PBAC noted that the sponsor would need to provide relevant data from the SMA registry to inform the review of uptake and continuation rates. The PBAC considered that review of the rates of treatment continuation may also be informative in assessing the ongoing effectiveness of nusinersen in the adult population as perceived by patients and clinicians. </w:t>
      </w:r>
    </w:p>
    <w:p w14:paraId="70539E18" w14:textId="32BE32D0" w:rsidR="00D94863" w:rsidRPr="00F65F0D" w:rsidRDefault="00D94863" w:rsidP="00D94863">
      <w:r>
        <w:t xml:space="preserve">For further details refer to </w:t>
      </w:r>
      <w:r w:rsidRPr="00F65F0D">
        <w:t xml:space="preserve">the </w:t>
      </w:r>
      <w:hyperlink r:id="rId14" w:history="1">
        <w:r w:rsidRPr="003D799E">
          <w:rPr>
            <w:rStyle w:val="Hyperlink"/>
          </w:rPr>
          <w:t>Public Summary Document</w:t>
        </w:r>
      </w:hyperlink>
      <w:r>
        <w:t xml:space="preserve"> </w:t>
      </w:r>
      <w:r w:rsidRPr="00F65F0D">
        <w:t xml:space="preserve">from the </w:t>
      </w:r>
      <w:r w:rsidR="0065418A">
        <w:t>March 2022</w:t>
      </w:r>
      <w:r>
        <w:t xml:space="preserve"> PBAC meeting.</w:t>
      </w:r>
    </w:p>
    <w:p w14:paraId="0DEBD50F" w14:textId="69B931E7" w:rsidR="00094DCF" w:rsidRDefault="00ED633B" w:rsidP="00CF5E22">
      <w:pPr>
        <w:pStyle w:val="Heading2"/>
      </w:pPr>
      <w:r>
        <w:t xml:space="preserve">Previous reviews by </w:t>
      </w:r>
      <w:r w:rsidR="00177B86">
        <w:t xml:space="preserve">the </w:t>
      </w:r>
      <w:r>
        <w:t>DUSC</w:t>
      </w:r>
    </w:p>
    <w:p w14:paraId="61D6BDD6" w14:textId="0C08DFFF" w:rsidR="00260CD1" w:rsidRDefault="00C442E4" w:rsidP="00A35800">
      <w:r w:rsidRPr="00C442E4">
        <w:t>DUSC reviewed the use of nusinersen for the treatment of Type I, II, IIIa SMA</w:t>
      </w:r>
      <w:r w:rsidR="00C01D70">
        <w:t xml:space="preserve"> at its February 2021 meeting</w:t>
      </w:r>
      <w:r w:rsidRPr="00C442E4">
        <w:t xml:space="preserve">. In 2018, 140 patients were dispensed 591 nusinersen scripts. In 2019, 160 patients were dispensed 514 nusinersen scripts. Type II SMA was the most common type of SMA in patients receiving nusinersen treatment. The data was too immature to analyse the time on nusinersen treatment, the median treatment duration was not reached by the analysis end date. DUSC advised that a further analysis of the time on nusinersen treatment should be undertaken when sufficient data was available. </w:t>
      </w:r>
    </w:p>
    <w:p w14:paraId="5C143877" w14:textId="5C8A2122" w:rsidR="00E371EA" w:rsidRPr="00ED633B" w:rsidRDefault="009D1ED5" w:rsidP="00A35800">
      <w:r>
        <w:t xml:space="preserve">For details of the DUSC consideration of </w:t>
      </w:r>
      <w:r w:rsidR="00F77021">
        <w:t>nusinersen for SMA</w:t>
      </w:r>
      <w:r>
        <w:t xml:space="preserve"> refer to the </w:t>
      </w:r>
      <w:hyperlink r:id="rId15" w:history="1">
        <w:r w:rsidRPr="00F77021">
          <w:rPr>
            <w:rStyle w:val="Hyperlink"/>
          </w:rPr>
          <w:t>Public Release Document</w:t>
        </w:r>
      </w:hyperlink>
      <w:r>
        <w:t xml:space="preserve"> from the </w:t>
      </w:r>
      <w:r w:rsidR="00CB0866">
        <w:t xml:space="preserve">February 2021 </w:t>
      </w:r>
      <w:r>
        <w:t>DUSC meeting.</w:t>
      </w:r>
    </w:p>
    <w:p w14:paraId="6BACC47A" w14:textId="77777777" w:rsidR="003B6FF6" w:rsidRPr="00EF09AA" w:rsidRDefault="003B6FF6" w:rsidP="00EF09AA"/>
    <w:p w14:paraId="68F32730" w14:textId="77777777" w:rsidR="003B6FF6" w:rsidRDefault="003B6FF6">
      <w:pPr>
        <w:spacing w:line="276" w:lineRule="auto"/>
        <w:rPr>
          <w:rFonts w:eastAsiaTheme="majorEastAsia" w:cstheme="majorBidi"/>
          <w:b/>
          <w:bCs/>
          <w:sz w:val="32"/>
          <w:szCs w:val="32"/>
        </w:rPr>
      </w:pPr>
      <w:r>
        <w:br w:type="page"/>
      </w:r>
    </w:p>
    <w:p w14:paraId="0312FFEC" w14:textId="5DFA5DF3" w:rsidR="00E677DD" w:rsidRPr="005E22C2" w:rsidRDefault="00E677DD" w:rsidP="00CF5E22">
      <w:pPr>
        <w:pStyle w:val="Heading1"/>
      </w:pPr>
      <w:r w:rsidRPr="005E22C2">
        <w:lastRenderedPageBreak/>
        <w:t>Method</w:t>
      </w:r>
      <w:r w:rsidR="001B5D37" w:rsidRPr="005E22C2">
        <w:t>s</w:t>
      </w:r>
    </w:p>
    <w:p w14:paraId="6D8C9BF9" w14:textId="1EE1BE35" w:rsidR="006804E0" w:rsidRDefault="006804E0" w:rsidP="00524D13">
      <w:r w:rsidRPr="006804E0">
        <w:t xml:space="preserve">Data extracted from the PBS claims database maintained by the </w:t>
      </w:r>
      <w:r w:rsidR="003271B5">
        <w:t>Department of Health, Disability and Ageing</w:t>
      </w:r>
      <w:r w:rsidRPr="006804E0">
        <w:t xml:space="preserve"> and processed by Services Australia were used for the analyses. Prescription data were extracted from </w:t>
      </w:r>
      <w:r w:rsidR="00CA521E">
        <w:t>1 June 2018</w:t>
      </w:r>
      <w:r w:rsidRPr="006804E0">
        <w:t xml:space="preserve"> up to and including </w:t>
      </w:r>
      <w:r w:rsidR="00BC2422">
        <w:t>31 December 2024</w:t>
      </w:r>
      <w:r w:rsidRPr="006804E0">
        <w:t xml:space="preserve">. </w:t>
      </w:r>
    </w:p>
    <w:p w14:paraId="112BC225" w14:textId="5F395196" w:rsidR="0058498F" w:rsidRDefault="003B6FF6" w:rsidP="00524D13">
      <w:r w:rsidRPr="003B6FF6">
        <w:t xml:space="preserve">This data was used to determine the number of incident and prevalent patients, number of prescriptions supplied and to analyse patient demographics such as age and gender. Initiating and prevalent patients were counted by quarter of supply. An initiating patient was defined based on their first date of supply of nusinersen. </w:t>
      </w:r>
      <w:r w:rsidR="001F2512">
        <w:t xml:space="preserve">Utilisation of initial and continuing listings were based on the respective item code.  </w:t>
      </w:r>
      <w:r w:rsidR="0058498F">
        <w:t xml:space="preserve">Additional </w:t>
      </w:r>
      <w:r w:rsidR="00131DC7">
        <w:t>a</w:t>
      </w:r>
      <w:r w:rsidR="0058498F">
        <w:t xml:space="preserve">nalyses were conducted to examine the overall SMA market as well as </w:t>
      </w:r>
      <w:r w:rsidR="00131DC7">
        <w:t xml:space="preserve">the adult SMA market. </w:t>
      </w:r>
    </w:p>
    <w:p w14:paraId="7800F923" w14:textId="31F9AD92" w:rsidR="000E65D1" w:rsidRDefault="00F94636" w:rsidP="00524D13">
      <w:r>
        <w:t>A d</w:t>
      </w:r>
      <w:r w:rsidR="007F2F24">
        <w:t>rug sequence</w:t>
      </w:r>
      <w:r w:rsidR="000E65D1" w:rsidRPr="00050AEF">
        <w:t xml:space="preserve"> analys</w:t>
      </w:r>
      <w:r w:rsidR="00EB5B4C">
        <w:t>i</w:t>
      </w:r>
      <w:r w:rsidR="000E65D1" w:rsidRPr="00050AEF">
        <w:t xml:space="preserve">s </w:t>
      </w:r>
      <w:r>
        <w:t>was</w:t>
      </w:r>
      <w:r w:rsidR="000E65D1" w:rsidRPr="00050AEF">
        <w:t xml:space="preserve"> conducted to examine the </w:t>
      </w:r>
      <w:r w:rsidR="000E65D1">
        <w:t>pattern of utilisation</w:t>
      </w:r>
      <w:r>
        <w:t xml:space="preserve"> </w:t>
      </w:r>
      <w:r w:rsidR="00202275">
        <w:t>of adult SMA listings: nusinersen and risdipla</w:t>
      </w:r>
      <w:r>
        <w:t>m</w:t>
      </w:r>
      <w:r w:rsidR="00202275">
        <w:t xml:space="preserve">. </w:t>
      </w:r>
      <w:r w:rsidR="000E65D1">
        <w:t>T</w:t>
      </w:r>
      <w:r w:rsidR="000E65D1" w:rsidRPr="00050AEF">
        <w:t xml:space="preserve">he first prescribed drug was recorded and if patients were subsequently supplied other drugs, these were noted to form the patient’s </w:t>
      </w:r>
      <w:r w:rsidR="008D52D6" w:rsidRPr="00050AEF">
        <w:t xml:space="preserve">chronological </w:t>
      </w:r>
      <w:r w:rsidR="000E65D1" w:rsidRPr="00050AEF">
        <w:t>drug sequence.</w:t>
      </w:r>
    </w:p>
    <w:p w14:paraId="566F08D9" w14:textId="51320715" w:rsidR="0093386B" w:rsidRDefault="003B6FF6" w:rsidP="00524D13">
      <w:r w:rsidRPr="003B6FF6">
        <w:t>The Kaplan-Meier method was used to analyse treatment duration with nusinersen, censoring patients that were still continuing treatment at the analysis end date</w:t>
      </w:r>
      <w:r w:rsidR="00A55B95">
        <w:t xml:space="preserve"> (</w:t>
      </w:r>
      <w:r w:rsidR="00997FC2">
        <w:t>31 December 2024</w:t>
      </w:r>
      <w:r w:rsidR="00A55B95">
        <w:t>)</w:t>
      </w:r>
      <w:r w:rsidRPr="003B6FF6">
        <w:t xml:space="preserve">. The median standard treatment days were </w:t>
      </w:r>
      <w:r w:rsidR="00A55B95">
        <w:t>116</w:t>
      </w:r>
      <w:r w:rsidRPr="003B6FF6">
        <w:t xml:space="preserve"> days. Patients were censored if they received a supply within </w:t>
      </w:r>
      <w:r w:rsidR="00A55B95">
        <w:t>three</w:t>
      </w:r>
      <w:r w:rsidRPr="003B6FF6">
        <w:t xml:space="preserve"> sets of standard treatment days before the analysis end date. </w:t>
      </w:r>
    </w:p>
    <w:p w14:paraId="0712D9D5" w14:textId="74D6BBE7" w:rsidR="00524D13" w:rsidRDefault="006804E0" w:rsidP="00524D13">
      <w:r w:rsidRPr="006804E0">
        <w:t>As this analysis uses date of supply prescription data, there may be small differences compared with publicly available Services Australia Medicare date of processing data.</w:t>
      </w:r>
      <w:r w:rsidR="00576B18">
        <w:rPr>
          <w:rStyle w:val="FootnoteReference"/>
        </w:rPr>
        <w:footnoteReference w:id="7"/>
      </w:r>
      <w:r w:rsidR="00576B18">
        <w:t xml:space="preserve"> </w:t>
      </w:r>
      <w:r w:rsidR="0090691F">
        <w:t xml:space="preserve">The </w:t>
      </w:r>
      <w:r w:rsidR="00AC5054">
        <w:t xml:space="preserve">publicly available </w:t>
      </w:r>
      <w:r w:rsidRPr="006804E0">
        <w:t xml:space="preserve">Services Australia </w:t>
      </w:r>
      <w:r w:rsidR="0090691F">
        <w:t xml:space="preserve">Medicare data </w:t>
      </w:r>
      <w:r w:rsidR="008E3F8C">
        <w:t xml:space="preserve">only </w:t>
      </w:r>
      <w:r w:rsidR="0090691F">
        <w:t xml:space="preserve">includes </w:t>
      </w:r>
      <w:r w:rsidR="00524D13">
        <w:t xml:space="preserve">subsidised R/PBS prescriptions </w:t>
      </w:r>
      <w:r w:rsidR="008E3F8C">
        <w:t xml:space="preserve">with prescriptions </w:t>
      </w:r>
      <w:r w:rsidR="00524D13">
        <w:t xml:space="preserve">under </w:t>
      </w:r>
      <w:r w:rsidR="00DD29A3">
        <w:t xml:space="preserve">the </w:t>
      </w:r>
      <w:r w:rsidR="00524D13">
        <w:t xml:space="preserve">patient co-payment </w:t>
      </w:r>
      <w:r w:rsidR="008E3F8C">
        <w:t>not included</w:t>
      </w:r>
      <w:r w:rsidR="00524D13">
        <w:t>.</w:t>
      </w:r>
      <w:r w:rsidR="00DD29A3">
        <w:t xml:space="preserve"> The </w:t>
      </w:r>
      <w:r w:rsidRPr="006804E0">
        <w:t xml:space="preserve">Services Australia </w:t>
      </w:r>
      <w:r w:rsidR="00DD29A3">
        <w:t xml:space="preserve">Medicare data used in this report includes under co-payment prescriptions </w:t>
      </w:r>
      <w:r w:rsidR="00EF75ED">
        <w:t xml:space="preserve">which became available </w:t>
      </w:r>
      <w:r w:rsidR="00DD29A3">
        <w:t>from 1</w:t>
      </w:r>
      <w:r w:rsidR="006B554F">
        <w:t> </w:t>
      </w:r>
      <w:r w:rsidR="00DD29A3">
        <w:t>April 2012.</w:t>
      </w:r>
    </w:p>
    <w:p w14:paraId="27A8D2BA" w14:textId="77777777" w:rsidR="00CE32B3" w:rsidRDefault="00CE32B3">
      <w:pPr>
        <w:spacing w:line="276" w:lineRule="auto"/>
        <w:rPr>
          <w:rFonts w:eastAsiaTheme="majorEastAsia" w:cstheme="majorBidi"/>
          <w:b/>
          <w:bCs/>
          <w:sz w:val="32"/>
          <w:szCs w:val="32"/>
        </w:rPr>
      </w:pPr>
      <w:r>
        <w:br w:type="page"/>
      </w:r>
    </w:p>
    <w:p w14:paraId="4F91A98A" w14:textId="456DFDA7" w:rsidR="00C714D0" w:rsidRPr="005E22C2" w:rsidRDefault="00C714D0" w:rsidP="00CF5E22">
      <w:pPr>
        <w:pStyle w:val="Heading1"/>
      </w:pPr>
      <w:r w:rsidRPr="005E22C2">
        <w:lastRenderedPageBreak/>
        <w:t>Results</w:t>
      </w:r>
    </w:p>
    <w:p w14:paraId="2221FF19" w14:textId="336CE8B2" w:rsidR="00736041" w:rsidRPr="005E22C2" w:rsidRDefault="001B5D37" w:rsidP="00CF5E22">
      <w:pPr>
        <w:pStyle w:val="Heading2"/>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14:paraId="09F8A9BC" w14:textId="0E640F5B" w:rsidR="006A44F5" w:rsidRDefault="00736041" w:rsidP="00CF5E22">
      <w:pPr>
        <w:pStyle w:val="Heading3"/>
      </w:pPr>
      <w:r w:rsidRPr="005E22C2">
        <w:t>Overall utilisation</w:t>
      </w:r>
      <w:r w:rsidR="0056044B">
        <w:t xml:space="preserve"> </w:t>
      </w:r>
    </w:p>
    <w:p w14:paraId="701387EA" w14:textId="49F491CB" w:rsidR="007E2FDD" w:rsidRDefault="003F25C0" w:rsidP="003F25C0">
      <w:pPr>
        <w:jc w:val="center"/>
      </w:pPr>
      <w:r>
        <w:rPr>
          <w:noProof/>
        </w:rPr>
        <w:drawing>
          <wp:inline distT="0" distB="0" distL="0" distR="0" wp14:anchorId="468A01F2" wp14:editId="40FE86B0">
            <wp:extent cx="4714504" cy="2885704"/>
            <wp:effectExtent l="0" t="0" r="10160" b="10160"/>
            <wp:docPr id="581428882" name="Chart 1">
              <a:extLst xmlns:a="http://schemas.openxmlformats.org/drawingml/2006/main">
                <a:ext uri="{FF2B5EF4-FFF2-40B4-BE49-F238E27FC236}">
                  <a16:creationId xmlns:a16="http://schemas.microsoft.com/office/drawing/2014/main" id="{CCBB9488-EF3E-CE7D-A92C-82EB1231D2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EA6971C" w14:textId="7E0199C8" w:rsidR="003F25C0" w:rsidRDefault="003F25C0" w:rsidP="003F25C0">
      <w:pPr>
        <w:pStyle w:val="Figuretitle"/>
      </w:pPr>
      <w:r>
        <w:t xml:space="preserve">Figure 1: </w:t>
      </w:r>
      <w:r w:rsidR="0051074C">
        <w:t xml:space="preserve">Number of </w:t>
      </w:r>
      <w:r w:rsidR="007A6E21">
        <w:t xml:space="preserve">SMA </w:t>
      </w:r>
      <w:r w:rsidR="002E657F">
        <w:t xml:space="preserve">patients </w:t>
      </w:r>
      <w:r>
        <w:t xml:space="preserve">treated </w:t>
      </w:r>
      <w:r w:rsidR="002E657F">
        <w:t>with PBS-listed therapies by</w:t>
      </w:r>
      <w:r>
        <w:t xml:space="preserve"> supply quarter</w:t>
      </w:r>
    </w:p>
    <w:p w14:paraId="7F5A889D" w14:textId="77777777" w:rsidR="003F25C0" w:rsidRDefault="003F25C0" w:rsidP="00B22B29"/>
    <w:p w14:paraId="2E0C46A8" w14:textId="553C5FAC" w:rsidR="00A36071" w:rsidRDefault="0046045F" w:rsidP="00B22B29">
      <w:r>
        <w:t>Figure 1 shows</w:t>
      </w:r>
      <w:r w:rsidR="00A36071">
        <w:t xml:space="preserve"> t</w:t>
      </w:r>
      <w:r w:rsidR="003C24DC">
        <w:t xml:space="preserve">he number of patients </w:t>
      </w:r>
      <w:r>
        <w:t xml:space="preserve">treated with PBS-listed therapies for SMA has increased over time, particularly from 2022Q2 onwards. </w:t>
      </w:r>
    </w:p>
    <w:p w14:paraId="1F958CA4" w14:textId="77777777" w:rsidR="00A36071" w:rsidRDefault="00A36071" w:rsidP="00B22B29"/>
    <w:p w14:paraId="558FD9CF" w14:textId="77777777" w:rsidR="00A10DAA" w:rsidRDefault="00A10DAA" w:rsidP="00B22B29"/>
    <w:p w14:paraId="1EF756F9" w14:textId="3AB75F46" w:rsidR="00105403" w:rsidRDefault="00105403" w:rsidP="00105403">
      <w:pPr>
        <w:jc w:val="center"/>
      </w:pPr>
      <w:r>
        <w:rPr>
          <w:noProof/>
        </w:rPr>
        <w:lastRenderedPageBreak/>
        <w:drawing>
          <wp:inline distT="0" distB="0" distL="0" distR="0" wp14:anchorId="27CEE2AA" wp14:editId="4896DA18">
            <wp:extent cx="4762005" cy="3099460"/>
            <wp:effectExtent l="0" t="0" r="635" b="5715"/>
            <wp:docPr id="20319417" name="Chart 1">
              <a:extLst xmlns:a="http://schemas.openxmlformats.org/drawingml/2006/main">
                <a:ext uri="{FF2B5EF4-FFF2-40B4-BE49-F238E27FC236}">
                  <a16:creationId xmlns:a16="http://schemas.microsoft.com/office/drawing/2014/main" id="{2C3DF96A-A7EB-A649-1D46-2A94934DEF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C083388" w14:textId="6B3F63CB" w:rsidR="008B23B6" w:rsidRDefault="008B23B6" w:rsidP="008B23B6">
      <w:pPr>
        <w:pStyle w:val="Figuretitle"/>
      </w:pPr>
      <w:r>
        <w:t xml:space="preserve">Figure </w:t>
      </w:r>
      <w:r w:rsidR="00AE621C">
        <w:t>2</w:t>
      </w:r>
      <w:r>
        <w:t xml:space="preserve">: </w:t>
      </w:r>
      <w:r w:rsidR="0051074C">
        <w:t>Number of SMA</w:t>
      </w:r>
      <w:r w:rsidR="002E657F">
        <w:t xml:space="preserve"> p</w:t>
      </w:r>
      <w:r>
        <w:t xml:space="preserve">atients </w:t>
      </w:r>
      <w:r w:rsidR="00C70017">
        <w:t xml:space="preserve">treated </w:t>
      </w:r>
      <w:r>
        <w:t>by drug and supply quarter</w:t>
      </w:r>
    </w:p>
    <w:p w14:paraId="3415EF47" w14:textId="77777777" w:rsidR="007777B1" w:rsidRDefault="007777B1" w:rsidP="007777B1">
      <w:pPr>
        <w:rPr>
          <w:sz w:val="20"/>
          <w:szCs w:val="20"/>
        </w:rPr>
      </w:pPr>
      <w:r w:rsidRPr="00FB30DB">
        <w:rPr>
          <w:sz w:val="20"/>
          <w:szCs w:val="20"/>
        </w:rPr>
        <w:t xml:space="preserve">Note: Patient counts of less than 5 </w:t>
      </w:r>
      <w:r>
        <w:rPr>
          <w:sz w:val="20"/>
          <w:szCs w:val="20"/>
        </w:rPr>
        <w:t>were</w:t>
      </w:r>
      <w:r w:rsidRPr="00FB30DB">
        <w:rPr>
          <w:sz w:val="20"/>
          <w:szCs w:val="20"/>
        </w:rPr>
        <w:t xml:space="preserve"> denoted by 5 to </w:t>
      </w:r>
      <w:r>
        <w:rPr>
          <w:sz w:val="20"/>
          <w:szCs w:val="20"/>
        </w:rPr>
        <w:t xml:space="preserve">reduce the risk </w:t>
      </w:r>
      <w:r w:rsidRPr="00FB30DB">
        <w:rPr>
          <w:sz w:val="20"/>
          <w:szCs w:val="20"/>
        </w:rPr>
        <w:t xml:space="preserve">of patient identification. </w:t>
      </w:r>
    </w:p>
    <w:p w14:paraId="03E047CA" w14:textId="4BEB5705" w:rsidR="000E520A" w:rsidRDefault="0046045F" w:rsidP="007777B1">
      <w:r>
        <w:t>Figure 2 shows the number of</w:t>
      </w:r>
      <w:r w:rsidR="000E520A">
        <w:t xml:space="preserve"> SMA</w:t>
      </w:r>
      <w:r>
        <w:t xml:space="preserve"> patients treated </w:t>
      </w:r>
      <w:r w:rsidR="000E520A">
        <w:t xml:space="preserve">by </w:t>
      </w:r>
      <w:r w:rsidR="005A64E8">
        <w:t xml:space="preserve">drug. </w:t>
      </w:r>
      <w:r w:rsidR="008D52D6">
        <w:t>Prior to 2024Q1, most</w:t>
      </w:r>
      <w:r w:rsidR="0057298A">
        <w:t xml:space="preserve"> patients were treated with nusinersen for SMA</w:t>
      </w:r>
      <w:r w:rsidR="000E520A">
        <w:t>. However, from 2024Q1</w:t>
      </w:r>
      <w:r w:rsidR="008D52D6">
        <w:t xml:space="preserve"> onwards</w:t>
      </w:r>
      <w:r w:rsidR="000E520A">
        <w:t xml:space="preserve"> </w:t>
      </w:r>
      <w:r w:rsidR="00B10F64">
        <w:t>most</w:t>
      </w:r>
      <w:r w:rsidR="000E520A">
        <w:t xml:space="preserve"> patients </w:t>
      </w:r>
      <w:r w:rsidR="008D52D6">
        <w:t>were</w:t>
      </w:r>
      <w:r w:rsidR="000E520A">
        <w:t xml:space="preserve"> treated with risdiplam</w:t>
      </w:r>
      <w:r w:rsidR="008D52D6">
        <w:t xml:space="preserve">. </w:t>
      </w:r>
    </w:p>
    <w:p w14:paraId="123F9E94" w14:textId="77777777" w:rsidR="005834F8" w:rsidRPr="007777B1" w:rsidRDefault="005834F8" w:rsidP="007777B1"/>
    <w:p w14:paraId="1B099323" w14:textId="5ABA6EFA" w:rsidR="00E77276" w:rsidRDefault="00E77276" w:rsidP="00E77276">
      <w:pPr>
        <w:jc w:val="center"/>
      </w:pPr>
      <w:r>
        <w:rPr>
          <w:noProof/>
        </w:rPr>
        <w:drawing>
          <wp:inline distT="0" distB="0" distL="0" distR="0" wp14:anchorId="3D40544C" wp14:editId="4500681E">
            <wp:extent cx="4868883" cy="3028207"/>
            <wp:effectExtent l="0" t="0" r="8255" b="1270"/>
            <wp:docPr id="1883399170" name="Chart 1">
              <a:extLst xmlns:a="http://schemas.openxmlformats.org/drawingml/2006/main">
                <a:ext uri="{FF2B5EF4-FFF2-40B4-BE49-F238E27FC236}">
                  <a16:creationId xmlns:a16="http://schemas.microsoft.com/office/drawing/2014/main" id="{EBB4FF85-DF7F-96E3-0425-653E54320F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CE0E06C" w14:textId="2138B661" w:rsidR="00F4418B" w:rsidRDefault="00E77276" w:rsidP="00D80A3D">
      <w:pPr>
        <w:pStyle w:val="Figuretitle"/>
      </w:pPr>
      <w:r>
        <w:t xml:space="preserve">Figure </w:t>
      </w:r>
      <w:r w:rsidR="00AE621C">
        <w:t>3</w:t>
      </w:r>
      <w:r>
        <w:t xml:space="preserve">: </w:t>
      </w:r>
      <w:r w:rsidR="0051074C">
        <w:t>Number of SMA p</w:t>
      </w:r>
      <w:r>
        <w:t xml:space="preserve">atients </w:t>
      </w:r>
      <w:r w:rsidR="00C70017">
        <w:t xml:space="preserve">treated </w:t>
      </w:r>
      <w:r w:rsidR="0051074C">
        <w:t xml:space="preserve">by </w:t>
      </w:r>
      <w:r>
        <w:t>age group and supply quarter</w:t>
      </w:r>
    </w:p>
    <w:p w14:paraId="1C95EC88" w14:textId="1B25BCD2" w:rsidR="00CE3E04" w:rsidRPr="003F25C0" w:rsidRDefault="000E520A" w:rsidP="00CA60EC">
      <w:r>
        <w:t xml:space="preserve">Figure </w:t>
      </w:r>
      <w:r w:rsidR="00B5119A">
        <w:t>3 shows the</w:t>
      </w:r>
      <w:r w:rsidR="00291729">
        <w:t xml:space="preserve"> majority of patients treated for SMA </w:t>
      </w:r>
      <w:r w:rsidR="00A10DAA">
        <w:t>were</w:t>
      </w:r>
      <w:r w:rsidR="00A36071">
        <w:t xml:space="preserve"> children. </w:t>
      </w:r>
    </w:p>
    <w:p w14:paraId="7D582ECF" w14:textId="48AAEAC6" w:rsidR="003A4234" w:rsidRDefault="0072615C" w:rsidP="007E2FDD">
      <w:pPr>
        <w:pStyle w:val="Heading3"/>
      </w:pPr>
      <w:r>
        <w:lastRenderedPageBreak/>
        <w:t>Utilisation of</w:t>
      </w:r>
      <w:r w:rsidR="00C47FAD">
        <w:t xml:space="preserve"> nusinersen for</w:t>
      </w:r>
      <w:r>
        <w:t xml:space="preserve"> </w:t>
      </w:r>
      <w:r w:rsidR="00C47FAD">
        <w:t>SMA</w:t>
      </w:r>
      <w:r w:rsidR="00911E78">
        <w:t xml:space="preserve"> in adults</w:t>
      </w:r>
    </w:p>
    <w:p w14:paraId="34FA6B48" w14:textId="40C4460F" w:rsidR="00B10F64" w:rsidRDefault="00B10F64" w:rsidP="005834F8">
      <w:pPr>
        <w:ind w:right="-399"/>
      </w:pPr>
      <w:r>
        <w:t xml:space="preserve">Table 3 and Figures 4 and 5 show the utilisation of nusinersen in adult patients. At listing, there was high initial uptake of nusinersen,  however the number of initiating patients has decreased, with a lower number of patients treated with nusinersen in 2024 compared to 2023. </w:t>
      </w:r>
    </w:p>
    <w:p w14:paraId="4FAE3A40" w14:textId="0AD71DF3" w:rsidR="00CC13F6" w:rsidRPr="001420B3" w:rsidDel="00EE2BBB" w:rsidRDefault="00CC13F6" w:rsidP="00CC13F6">
      <w:pPr>
        <w:pStyle w:val="Tabletitle"/>
      </w:pPr>
      <w:r w:rsidRPr="001420B3" w:rsidDel="00EE2BBB">
        <w:t xml:space="preserve">Table </w:t>
      </w:r>
      <w:r w:rsidR="00261C7B">
        <w:t>3</w:t>
      </w:r>
      <w:r w:rsidRPr="001420B3" w:rsidDel="00EE2BBB">
        <w:t xml:space="preserve">: </w:t>
      </w:r>
      <w:r>
        <w:t>Utilisation of nusinersen</w:t>
      </w:r>
      <w:r w:rsidR="00B10F64">
        <w:t xml:space="preserve"> for SMA in adults</w:t>
      </w:r>
      <w:r>
        <w:t xml:space="preserve"> by calendar year  </w:t>
      </w:r>
      <w:r w:rsidDel="00EE2BBB">
        <w:t xml:space="preserve"> </w:t>
      </w:r>
    </w:p>
    <w:tbl>
      <w:tblPr>
        <w:tblStyle w:val="TableGrid"/>
        <w:tblW w:w="0" w:type="auto"/>
        <w:tblLook w:val="04A0" w:firstRow="1" w:lastRow="0" w:firstColumn="1" w:lastColumn="0" w:noHBand="0" w:noVBand="1"/>
      </w:tblPr>
      <w:tblGrid>
        <w:gridCol w:w="2236"/>
        <w:gridCol w:w="2237"/>
        <w:gridCol w:w="2237"/>
        <w:gridCol w:w="2237"/>
      </w:tblGrid>
      <w:tr w:rsidR="00CC6D9E" w:rsidRPr="00CC6D9E" w14:paraId="12CFDE2B" w14:textId="77777777" w:rsidTr="00CC13F6">
        <w:tc>
          <w:tcPr>
            <w:tcW w:w="2236" w:type="dxa"/>
            <w:shd w:val="clear" w:color="auto" w:fill="BFBFBF" w:themeFill="background1" w:themeFillShade="BF"/>
          </w:tcPr>
          <w:p w14:paraId="3E7D96D6" w14:textId="77777777" w:rsidR="00CC6D9E" w:rsidRPr="00CC13F6" w:rsidRDefault="00CC6D9E" w:rsidP="00CC6D9E">
            <w:pPr>
              <w:spacing w:before="60" w:after="60"/>
              <w:rPr>
                <w:b/>
                <w:bCs/>
                <w:sz w:val="20"/>
                <w:szCs w:val="20"/>
              </w:rPr>
            </w:pPr>
          </w:p>
        </w:tc>
        <w:tc>
          <w:tcPr>
            <w:tcW w:w="2237" w:type="dxa"/>
            <w:shd w:val="clear" w:color="auto" w:fill="BFBFBF" w:themeFill="background1" w:themeFillShade="BF"/>
          </w:tcPr>
          <w:p w14:paraId="731061C9" w14:textId="47AF964F" w:rsidR="00CC6D9E" w:rsidRPr="00CC13F6" w:rsidRDefault="00CC6D9E" w:rsidP="00CC13F6">
            <w:pPr>
              <w:spacing w:before="60" w:after="60"/>
              <w:jc w:val="center"/>
              <w:rPr>
                <w:b/>
                <w:bCs/>
                <w:sz w:val="20"/>
                <w:szCs w:val="20"/>
              </w:rPr>
            </w:pPr>
            <w:r w:rsidRPr="00CC13F6">
              <w:rPr>
                <w:b/>
                <w:bCs/>
                <w:sz w:val="20"/>
                <w:szCs w:val="20"/>
              </w:rPr>
              <w:t>2022</w:t>
            </w:r>
          </w:p>
        </w:tc>
        <w:tc>
          <w:tcPr>
            <w:tcW w:w="2237" w:type="dxa"/>
            <w:shd w:val="clear" w:color="auto" w:fill="BFBFBF" w:themeFill="background1" w:themeFillShade="BF"/>
          </w:tcPr>
          <w:p w14:paraId="56845840" w14:textId="27D46080" w:rsidR="00CC6D9E" w:rsidRPr="00CC13F6" w:rsidRDefault="00CC6D9E" w:rsidP="00CC13F6">
            <w:pPr>
              <w:spacing w:before="60" w:after="60"/>
              <w:jc w:val="center"/>
              <w:rPr>
                <w:b/>
                <w:bCs/>
                <w:sz w:val="20"/>
                <w:szCs w:val="20"/>
              </w:rPr>
            </w:pPr>
            <w:r w:rsidRPr="00CC13F6">
              <w:rPr>
                <w:b/>
                <w:bCs/>
                <w:sz w:val="20"/>
                <w:szCs w:val="20"/>
              </w:rPr>
              <w:t>2023</w:t>
            </w:r>
          </w:p>
        </w:tc>
        <w:tc>
          <w:tcPr>
            <w:tcW w:w="2237" w:type="dxa"/>
            <w:shd w:val="clear" w:color="auto" w:fill="BFBFBF" w:themeFill="background1" w:themeFillShade="BF"/>
          </w:tcPr>
          <w:p w14:paraId="2E3A6F62" w14:textId="4D281593" w:rsidR="00CC6D9E" w:rsidRPr="00CC13F6" w:rsidRDefault="00CC6D9E" w:rsidP="00CC13F6">
            <w:pPr>
              <w:spacing w:before="60" w:after="60"/>
              <w:jc w:val="center"/>
              <w:rPr>
                <w:b/>
                <w:bCs/>
                <w:sz w:val="20"/>
                <w:szCs w:val="20"/>
              </w:rPr>
            </w:pPr>
            <w:r w:rsidRPr="00CC13F6">
              <w:rPr>
                <w:b/>
                <w:bCs/>
                <w:sz w:val="20"/>
                <w:szCs w:val="20"/>
              </w:rPr>
              <w:t>2024</w:t>
            </w:r>
          </w:p>
        </w:tc>
      </w:tr>
      <w:tr w:rsidR="00CC6D9E" w:rsidRPr="00CC6D9E" w14:paraId="74AC0877" w14:textId="77777777" w:rsidTr="00CC6D9E">
        <w:tc>
          <w:tcPr>
            <w:tcW w:w="2236" w:type="dxa"/>
          </w:tcPr>
          <w:p w14:paraId="4B8AC9BF" w14:textId="7CEEE6FB" w:rsidR="00CC6D9E" w:rsidRPr="00CC6D9E" w:rsidRDefault="00CC6D9E" w:rsidP="00CC6D9E">
            <w:pPr>
              <w:spacing w:before="60" w:after="60"/>
              <w:rPr>
                <w:sz w:val="20"/>
                <w:szCs w:val="20"/>
              </w:rPr>
            </w:pPr>
            <w:r w:rsidRPr="00CC6D9E">
              <w:rPr>
                <w:sz w:val="20"/>
                <w:szCs w:val="20"/>
              </w:rPr>
              <w:t xml:space="preserve">Patients treated </w:t>
            </w:r>
          </w:p>
        </w:tc>
        <w:tc>
          <w:tcPr>
            <w:tcW w:w="2237" w:type="dxa"/>
          </w:tcPr>
          <w:p w14:paraId="266A9215" w14:textId="7D465D7E" w:rsidR="00CC6D9E" w:rsidRPr="00CC6D9E" w:rsidRDefault="00CC6D9E" w:rsidP="00CC13F6">
            <w:pPr>
              <w:spacing w:before="60" w:after="60"/>
              <w:jc w:val="center"/>
              <w:rPr>
                <w:sz w:val="20"/>
                <w:szCs w:val="20"/>
              </w:rPr>
            </w:pPr>
            <w:r>
              <w:rPr>
                <w:sz w:val="20"/>
                <w:szCs w:val="20"/>
              </w:rPr>
              <w:t>57</w:t>
            </w:r>
          </w:p>
        </w:tc>
        <w:tc>
          <w:tcPr>
            <w:tcW w:w="2237" w:type="dxa"/>
          </w:tcPr>
          <w:p w14:paraId="61730678" w14:textId="600A0D8A" w:rsidR="00CC6D9E" w:rsidRPr="00CC6D9E" w:rsidRDefault="00CC6D9E" w:rsidP="00CC13F6">
            <w:pPr>
              <w:spacing w:before="60" w:after="60"/>
              <w:jc w:val="center"/>
              <w:rPr>
                <w:sz w:val="20"/>
                <w:szCs w:val="20"/>
              </w:rPr>
            </w:pPr>
            <w:r>
              <w:rPr>
                <w:sz w:val="20"/>
                <w:szCs w:val="20"/>
              </w:rPr>
              <w:t>93</w:t>
            </w:r>
          </w:p>
        </w:tc>
        <w:tc>
          <w:tcPr>
            <w:tcW w:w="2237" w:type="dxa"/>
          </w:tcPr>
          <w:p w14:paraId="14CC1771" w14:textId="7779FB88" w:rsidR="00CC6D9E" w:rsidRPr="00CC6D9E" w:rsidRDefault="00CC6D9E" w:rsidP="00CC13F6">
            <w:pPr>
              <w:spacing w:before="60" w:after="60"/>
              <w:jc w:val="center"/>
              <w:rPr>
                <w:sz w:val="20"/>
                <w:szCs w:val="20"/>
              </w:rPr>
            </w:pPr>
            <w:r>
              <w:rPr>
                <w:sz w:val="20"/>
                <w:szCs w:val="20"/>
              </w:rPr>
              <w:t>80</w:t>
            </w:r>
          </w:p>
        </w:tc>
      </w:tr>
      <w:tr w:rsidR="00CC6D9E" w:rsidRPr="00CC6D9E" w14:paraId="11D8F754" w14:textId="77777777" w:rsidTr="00CC6D9E">
        <w:tc>
          <w:tcPr>
            <w:tcW w:w="2236" w:type="dxa"/>
          </w:tcPr>
          <w:p w14:paraId="06CDA2D6" w14:textId="2B8D15FD" w:rsidR="00CC6D9E" w:rsidRPr="00CC6D9E" w:rsidRDefault="00CC6D9E" w:rsidP="00CC6D9E">
            <w:pPr>
              <w:spacing w:before="60" w:after="60"/>
              <w:rPr>
                <w:sz w:val="20"/>
                <w:szCs w:val="20"/>
              </w:rPr>
            </w:pPr>
            <w:r w:rsidRPr="00CC6D9E">
              <w:rPr>
                <w:sz w:val="20"/>
                <w:szCs w:val="20"/>
              </w:rPr>
              <w:t xml:space="preserve">Prescriptions supplied </w:t>
            </w:r>
          </w:p>
        </w:tc>
        <w:tc>
          <w:tcPr>
            <w:tcW w:w="2237" w:type="dxa"/>
          </w:tcPr>
          <w:p w14:paraId="19ECAAE9" w14:textId="1AA25C8E" w:rsidR="00CC6D9E" w:rsidRPr="00CC6D9E" w:rsidRDefault="00CC13F6" w:rsidP="00CC13F6">
            <w:pPr>
              <w:spacing w:before="60" w:after="60"/>
              <w:jc w:val="center"/>
              <w:rPr>
                <w:sz w:val="20"/>
                <w:szCs w:val="20"/>
              </w:rPr>
            </w:pPr>
            <w:r>
              <w:rPr>
                <w:sz w:val="20"/>
                <w:szCs w:val="20"/>
              </w:rPr>
              <w:t>106</w:t>
            </w:r>
          </w:p>
        </w:tc>
        <w:tc>
          <w:tcPr>
            <w:tcW w:w="2237" w:type="dxa"/>
          </w:tcPr>
          <w:p w14:paraId="276564D8" w14:textId="600FDD52" w:rsidR="00CC6D9E" w:rsidRPr="00CC6D9E" w:rsidRDefault="00CC13F6" w:rsidP="00CC13F6">
            <w:pPr>
              <w:spacing w:before="60" w:after="60"/>
              <w:jc w:val="center"/>
              <w:rPr>
                <w:sz w:val="20"/>
                <w:szCs w:val="20"/>
              </w:rPr>
            </w:pPr>
            <w:r>
              <w:rPr>
                <w:sz w:val="20"/>
                <w:szCs w:val="20"/>
              </w:rPr>
              <w:t>314</w:t>
            </w:r>
          </w:p>
        </w:tc>
        <w:tc>
          <w:tcPr>
            <w:tcW w:w="2237" w:type="dxa"/>
          </w:tcPr>
          <w:p w14:paraId="77DA6EC8" w14:textId="07035982" w:rsidR="00CC6D9E" w:rsidRPr="00CC6D9E" w:rsidRDefault="00CC13F6" w:rsidP="00CC13F6">
            <w:pPr>
              <w:spacing w:before="60" w:after="60"/>
              <w:jc w:val="center"/>
              <w:rPr>
                <w:sz w:val="20"/>
                <w:szCs w:val="20"/>
              </w:rPr>
            </w:pPr>
            <w:r>
              <w:rPr>
                <w:sz w:val="20"/>
                <w:szCs w:val="20"/>
              </w:rPr>
              <w:t>230</w:t>
            </w:r>
          </w:p>
        </w:tc>
      </w:tr>
    </w:tbl>
    <w:p w14:paraId="6FB1AF91" w14:textId="158E1786" w:rsidR="00CB12E8" w:rsidRPr="00CC13F6" w:rsidRDefault="00CC13F6" w:rsidP="00CC6D9E">
      <w:pPr>
        <w:rPr>
          <w:sz w:val="20"/>
          <w:szCs w:val="20"/>
        </w:rPr>
      </w:pPr>
      <w:r>
        <w:rPr>
          <w:sz w:val="20"/>
          <w:szCs w:val="20"/>
        </w:rPr>
        <w:t>Note: Figures</w:t>
      </w:r>
      <w:r w:rsidR="00CB12E8">
        <w:rPr>
          <w:sz w:val="20"/>
          <w:szCs w:val="20"/>
        </w:rPr>
        <w:t xml:space="preserve"> for 2022 represent </w:t>
      </w:r>
      <w:r w:rsidR="00CC0FDF">
        <w:rPr>
          <w:sz w:val="20"/>
          <w:szCs w:val="20"/>
        </w:rPr>
        <w:t xml:space="preserve">five months of data from </w:t>
      </w:r>
      <w:r w:rsidR="00CB12E8">
        <w:rPr>
          <w:sz w:val="20"/>
          <w:szCs w:val="20"/>
        </w:rPr>
        <w:t>August 2022 to December 2022</w:t>
      </w:r>
      <w:r w:rsidR="00CC0FDF">
        <w:rPr>
          <w:sz w:val="20"/>
          <w:szCs w:val="20"/>
        </w:rPr>
        <w:t>, inclusive</w:t>
      </w:r>
      <w:r w:rsidR="00CB12E8">
        <w:rPr>
          <w:sz w:val="20"/>
          <w:szCs w:val="20"/>
        </w:rPr>
        <w:t xml:space="preserve">. </w:t>
      </w:r>
    </w:p>
    <w:p w14:paraId="30580612" w14:textId="2A1EB244" w:rsidR="00EE0614" w:rsidRDefault="00EE0614" w:rsidP="00EE0614">
      <w:pPr>
        <w:pStyle w:val="Figurecaption"/>
        <w:jc w:val="center"/>
      </w:pPr>
    </w:p>
    <w:p w14:paraId="3DA8CF16" w14:textId="4745FB3F" w:rsidR="00A13EAB" w:rsidRDefault="00A13EAB" w:rsidP="00EE0614">
      <w:pPr>
        <w:pStyle w:val="Figurecaption"/>
        <w:jc w:val="center"/>
      </w:pPr>
      <w:r>
        <w:rPr>
          <w:noProof/>
        </w:rPr>
        <w:drawing>
          <wp:inline distT="0" distB="0" distL="0" distR="0" wp14:anchorId="62C46A4A" wp14:editId="21855800">
            <wp:extent cx="4805916" cy="2700670"/>
            <wp:effectExtent l="0" t="0" r="13970" b="4445"/>
            <wp:docPr id="400742095" name="Chart 1">
              <a:extLst xmlns:a="http://schemas.openxmlformats.org/drawingml/2006/main">
                <a:ext uri="{FF2B5EF4-FFF2-40B4-BE49-F238E27FC236}">
                  <a16:creationId xmlns:a16="http://schemas.microsoft.com/office/drawing/2014/main" id="{1558976C-2C10-28E3-0285-5977C37127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059A8D7" w14:textId="001A58D9" w:rsidR="004D55E0" w:rsidRDefault="004D55E0" w:rsidP="004D55E0">
      <w:pPr>
        <w:pStyle w:val="Figuretitle"/>
      </w:pPr>
      <w:r>
        <w:t xml:space="preserve">Figure </w:t>
      </w:r>
      <w:r w:rsidR="009B76C7">
        <w:t>4</w:t>
      </w:r>
      <w:r>
        <w:t xml:space="preserve">: </w:t>
      </w:r>
      <w:r w:rsidR="00C70017">
        <w:t xml:space="preserve">Number of adult </w:t>
      </w:r>
      <w:r w:rsidR="0051074C">
        <w:t xml:space="preserve">SMA </w:t>
      </w:r>
      <w:r w:rsidR="00C70017">
        <w:t>patients treated with</w:t>
      </w:r>
      <w:r>
        <w:t xml:space="preserve"> nusinersen by supply quarter</w:t>
      </w:r>
    </w:p>
    <w:p w14:paraId="7CFAAA34" w14:textId="6072230B" w:rsidR="00FB30DB" w:rsidRDefault="00186488" w:rsidP="00186488">
      <w:pPr>
        <w:rPr>
          <w:sz w:val="20"/>
          <w:szCs w:val="20"/>
        </w:rPr>
      </w:pPr>
      <w:r w:rsidRPr="00FB30DB">
        <w:rPr>
          <w:sz w:val="20"/>
          <w:szCs w:val="20"/>
        </w:rPr>
        <w:t xml:space="preserve">Note: Patient counts of less than 5 </w:t>
      </w:r>
      <w:r w:rsidR="00E359EB">
        <w:rPr>
          <w:sz w:val="20"/>
          <w:szCs w:val="20"/>
        </w:rPr>
        <w:t>were</w:t>
      </w:r>
      <w:r w:rsidRPr="00FB30DB">
        <w:rPr>
          <w:sz w:val="20"/>
          <w:szCs w:val="20"/>
        </w:rPr>
        <w:t xml:space="preserve"> denoted by 5 to </w:t>
      </w:r>
      <w:r w:rsidR="00EE0614">
        <w:rPr>
          <w:sz w:val="20"/>
          <w:szCs w:val="20"/>
        </w:rPr>
        <w:t xml:space="preserve">reduce the risk </w:t>
      </w:r>
      <w:r w:rsidR="00FB30DB" w:rsidRPr="00FB30DB">
        <w:rPr>
          <w:sz w:val="20"/>
          <w:szCs w:val="20"/>
        </w:rPr>
        <w:t xml:space="preserve">of patient </w:t>
      </w:r>
      <w:r w:rsidR="00EE0614" w:rsidRPr="00FB30DB">
        <w:rPr>
          <w:sz w:val="20"/>
          <w:szCs w:val="20"/>
        </w:rPr>
        <w:t>identification</w:t>
      </w:r>
      <w:r w:rsidR="00FB30DB" w:rsidRPr="00FB30DB">
        <w:rPr>
          <w:sz w:val="20"/>
          <w:szCs w:val="20"/>
        </w:rPr>
        <w:t xml:space="preserve">. </w:t>
      </w:r>
    </w:p>
    <w:p w14:paraId="0EE939D8" w14:textId="3063E631" w:rsidR="00FB30DB" w:rsidRPr="00186488" w:rsidRDefault="00863549" w:rsidP="00B42AB6">
      <w:pPr>
        <w:jc w:val="center"/>
      </w:pPr>
      <w:r>
        <w:rPr>
          <w:noProof/>
        </w:rPr>
        <w:drawing>
          <wp:inline distT="0" distB="0" distL="0" distR="0" wp14:anchorId="0382A7E4" wp14:editId="60E51082">
            <wp:extent cx="4582160" cy="2505075"/>
            <wp:effectExtent l="0" t="0" r="8890" b="9525"/>
            <wp:docPr id="307570776" name="Chart 1">
              <a:extLst xmlns:a="http://schemas.openxmlformats.org/drawingml/2006/main">
                <a:ext uri="{FF2B5EF4-FFF2-40B4-BE49-F238E27FC236}">
                  <a16:creationId xmlns:a16="http://schemas.microsoft.com/office/drawing/2014/main" id="{9A70D7C7-F224-5A0A-88C7-FA46E3314C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D2D96A7" w14:textId="17645E62" w:rsidR="00DD37E5" w:rsidRDefault="002773EB" w:rsidP="00DF51C0">
      <w:pPr>
        <w:pStyle w:val="Figuretitle"/>
      </w:pPr>
      <w:r>
        <w:t xml:space="preserve">Figure </w:t>
      </w:r>
      <w:r w:rsidR="009B76C7">
        <w:t>5</w:t>
      </w:r>
      <w:r>
        <w:t xml:space="preserve">: </w:t>
      </w:r>
      <w:r w:rsidR="00AC0C48">
        <w:t>Nusinersen</w:t>
      </w:r>
      <w:r w:rsidR="00ED5AC2">
        <w:t xml:space="preserve"> SMA prescriptions supplied by quarter </w:t>
      </w:r>
    </w:p>
    <w:p w14:paraId="6A663682" w14:textId="3AF5C3DD" w:rsidR="00A64B2D" w:rsidRDefault="00736041" w:rsidP="00661125">
      <w:pPr>
        <w:pStyle w:val="Heading3"/>
      </w:pPr>
      <w:r w:rsidRPr="005E22C2">
        <w:lastRenderedPageBreak/>
        <w:t>Utilisation by relevant sub-populations/regions</w:t>
      </w:r>
      <w:r w:rsidR="001B5D37" w:rsidRPr="005E22C2">
        <w:t xml:space="preserve"> or patient level analysis</w:t>
      </w:r>
    </w:p>
    <w:p w14:paraId="2E89C4F0" w14:textId="79C77241" w:rsidR="0063505E" w:rsidRDefault="0063505E" w:rsidP="00810358">
      <w:pPr>
        <w:jc w:val="center"/>
      </w:pPr>
      <w:r>
        <w:rPr>
          <w:noProof/>
        </w:rPr>
        <w:drawing>
          <wp:inline distT="0" distB="0" distL="0" distR="0" wp14:anchorId="737731EE" wp14:editId="6AD63214">
            <wp:extent cx="4710224" cy="3051544"/>
            <wp:effectExtent l="0" t="0" r="14605" b="15875"/>
            <wp:docPr id="1171976046" name="Chart 1">
              <a:extLst xmlns:a="http://schemas.openxmlformats.org/drawingml/2006/main">
                <a:ext uri="{FF2B5EF4-FFF2-40B4-BE49-F238E27FC236}">
                  <a16:creationId xmlns:a16="http://schemas.microsoft.com/office/drawing/2014/main" id="{C16F707E-5B48-4D2D-9F80-5B0CE030D3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25EA44" w14:textId="43A4261D" w:rsidR="00A64B2D" w:rsidRPr="00A35800" w:rsidRDefault="00A64B2D" w:rsidP="00A64B2D">
      <w:pPr>
        <w:pStyle w:val="Figuretitle"/>
      </w:pPr>
      <w:r>
        <w:t xml:space="preserve">Figure </w:t>
      </w:r>
      <w:r w:rsidR="009B76C7">
        <w:t>6</w:t>
      </w:r>
      <w:r>
        <w:t xml:space="preserve">: Age and gender distribution of </w:t>
      </w:r>
      <w:r w:rsidR="00F92548">
        <w:t>initiating</w:t>
      </w:r>
      <w:r>
        <w:t xml:space="preserve"> </w:t>
      </w:r>
      <w:r w:rsidR="00B10F64">
        <w:t xml:space="preserve">adult </w:t>
      </w:r>
      <w:r w:rsidR="00810358">
        <w:t xml:space="preserve">nusinersen </w:t>
      </w:r>
      <w:r>
        <w:t xml:space="preserve">patients for SMA </w:t>
      </w:r>
    </w:p>
    <w:p w14:paraId="506F47E5" w14:textId="45F95ACF" w:rsidR="00A64B2D" w:rsidRPr="0008607C" w:rsidRDefault="0008607C" w:rsidP="00A35800">
      <w:pPr>
        <w:rPr>
          <w:sz w:val="20"/>
          <w:szCs w:val="20"/>
        </w:rPr>
      </w:pPr>
      <w:r w:rsidRPr="0008607C">
        <w:rPr>
          <w:sz w:val="20"/>
          <w:szCs w:val="20"/>
        </w:rPr>
        <w:t>Note: Less than 5 patients were less than 1</w:t>
      </w:r>
      <w:r w:rsidR="00692557">
        <w:rPr>
          <w:sz w:val="20"/>
          <w:szCs w:val="20"/>
        </w:rPr>
        <w:t>9</w:t>
      </w:r>
      <w:r w:rsidRPr="0008607C">
        <w:rPr>
          <w:sz w:val="20"/>
          <w:szCs w:val="20"/>
        </w:rPr>
        <w:t xml:space="preserve"> years</w:t>
      </w:r>
      <w:r w:rsidR="00490A99">
        <w:rPr>
          <w:sz w:val="20"/>
          <w:szCs w:val="20"/>
        </w:rPr>
        <w:t xml:space="preserve"> of age</w:t>
      </w:r>
      <w:r w:rsidRPr="0008607C">
        <w:rPr>
          <w:sz w:val="20"/>
          <w:szCs w:val="20"/>
        </w:rPr>
        <w:t xml:space="preserve">. </w:t>
      </w:r>
    </w:p>
    <w:p w14:paraId="1499D2C2" w14:textId="642A3809" w:rsidR="00351CC6" w:rsidRDefault="00304BB7" w:rsidP="00A35800">
      <w:r>
        <w:t>Figure 6</w:t>
      </w:r>
      <w:r w:rsidR="008D52D6">
        <w:t xml:space="preserve"> shows</w:t>
      </w:r>
      <w:r>
        <w:t xml:space="preserve"> the most common age group to initiate treatment for adult SMA was between 30-39 years. </w:t>
      </w:r>
      <w:r w:rsidR="00463D95">
        <w:t>Males accounted for a greater proportion of initiation in the 1</w:t>
      </w:r>
      <w:r w:rsidR="00692557">
        <w:t>9</w:t>
      </w:r>
      <w:r w:rsidR="00463D95">
        <w:t xml:space="preserve">-29 year age group, whereas females accounted for a greater proportion in the older age groups. </w:t>
      </w:r>
      <w:r w:rsidR="00351CC6">
        <w:t xml:space="preserve">The median age of </w:t>
      </w:r>
      <w:r w:rsidR="0008607C">
        <w:t>initiating</w:t>
      </w:r>
      <w:r w:rsidR="00351CC6">
        <w:t xml:space="preserve"> </w:t>
      </w:r>
      <w:r w:rsidR="00171B59">
        <w:t xml:space="preserve">female </w:t>
      </w:r>
      <w:r w:rsidR="00463D95">
        <w:t>nusinersen</w:t>
      </w:r>
      <w:r w:rsidR="00171B59">
        <w:t xml:space="preserve"> patients was 42 years and for males was 34 years. Overall, the median age of initiating nusinersen patients was 37 years. </w:t>
      </w:r>
    </w:p>
    <w:p w14:paraId="740E56A2" w14:textId="3C2A0C3A" w:rsidR="0008019D" w:rsidRDefault="00077539" w:rsidP="009F3C30">
      <w:pPr>
        <w:jc w:val="center"/>
      </w:pPr>
      <w:r>
        <w:rPr>
          <w:noProof/>
        </w:rPr>
        <w:drawing>
          <wp:inline distT="0" distB="0" distL="0" distR="0" wp14:anchorId="1958483C" wp14:editId="25D7A0B6">
            <wp:extent cx="4561669" cy="2990850"/>
            <wp:effectExtent l="0" t="0" r="0" b="0"/>
            <wp:docPr id="804773387"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773387" name=""/>
                    <pic:cNvPicPr/>
                  </pic:nvPicPr>
                  <pic:blipFill>
                    <a:blip r:embed="rId22">
                      <a:extLst>
                        <a:ext uri="{96DAC541-7B7A-43D3-8B79-37D633B846F1}">
                          <asvg:svgBlip xmlns:asvg="http://schemas.microsoft.com/office/drawing/2016/SVG/main" r:embed="rId23"/>
                        </a:ext>
                      </a:extLst>
                    </a:blip>
                    <a:stretch>
                      <a:fillRect/>
                    </a:stretch>
                  </pic:blipFill>
                  <pic:spPr>
                    <a:xfrm>
                      <a:off x="0" y="0"/>
                      <a:ext cx="4570948" cy="2996934"/>
                    </a:xfrm>
                    <a:prstGeom prst="rect">
                      <a:avLst/>
                    </a:prstGeom>
                  </pic:spPr>
                </pic:pic>
              </a:graphicData>
            </a:graphic>
          </wp:inline>
        </w:drawing>
      </w:r>
    </w:p>
    <w:p w14:paraId="714EF88D" w14:textId="7858A30D" w:rsidR="00C70017" w:rsidRDefault="00F44657" w:rsidP="00F44657">
      <w:pPr>
        <w:pStyle w:val="Figuretitle"/>
      </w:pPr>
      <w:r>
        <w:t xml:space="preserve">Figure </w:t>
      </w:r>
      <w:r w:rsidR="009B76C7">
        <w:t>7</w:t>
      </w:r>
      <w:r>
        <w:t>: Treatment duration of adult nusiners</w:t>
      </w:r>
      <w:r w:rsidR="00C70017">
        <w:t xml:space="preserve">en patients </w:t>
      </w:r>
    </w:p>
    <w:p w14:paraId="0484328C" w14:textId="77721F59" w:rsidR="003805F7" w:rsidRDefault="003805F7" w:rsidP="00315D29">
      <w:r>
        <w:lastRenderedPageBreak/>
        <w:t xml:space="preserve">The data was too immature to fully analyse the time of treatment on nusinersen, with </w:t>
      </w:r>
      <w:r w:rsidR="00033430">
        <w:t xml:space="preserve">the </w:t>
      </w:r>
      <w:r>
        <w:t xml:space="preserve">median time on therapy not being reached </w:t>
      </w:r>
      <w:r w:rsidR="00F74DF2">
        <w:t>at analysis end date</w:t>
      </w:r>
      <w:r w:rsidR="008D52D6">
        <w:t xml:space="preserve">. </w:t>
      </w:r>
      <w:r w:rsidR="00897118">
        <w:t xml:space="preserve">Of the </w:t>
      </w:r>
      <w:r w:rsidR="008C7D88">
        <w:t>106 patients who have initiated treatment</w:t>
      </w:r>
      <w:r w:rsidR="00033430">
        <w:t xml:space="preserve"> with nusinersen</w:t>
      </w:r>
      <w:r w:rsidR="008C7D88">
        <w:t xml:space="preserve">, </w:t>
      </w:r>
      <w:r w:rsidR="00C00045">
        <w:t>73.58% of these patients were censored</w:t>
      </w:r>
      <w:r w:rsidR="00033430">
        <w:t xml:space="preserve"> at 31 December 2024</w:t>
      </w:r>
      <w:r w:rsidR="002F4079">
        <w:t xml:space="preserve"> </w:t>
      </w:r>
      <w:r w:rsidR="004B64AC">
        <w:t>and</w:t>
      </w:r>
      <w:r w:rsidR="002F4079">
        <w:t xml:space="preserve"> were identified as continuing</w:t>
      </w:r>
      <w:r w:rsidR="00680E4A">
        <w:t xml:space="preserve"> on treatment</w:t>
      </w:r>
      <w:r w:rsidR="00C00045">
        <w:t xml:space="preserve">. </w:t>
      </w:r>
    </w:p>
    <w:p w14:paraId="0783A288" w14:textId="32E2A24D" w:rsidR="00DC49E9" w:rsidRPr="005E22C2" w:rsidRDefault="00DC49E9" w:rsidP="00CF5E22">
      <w:pPr>
        <w:pStyle w:val="Heading3"/>
      </w:pPr>
      <w:r w:rsidRPr="005E22C2">
        <w:t>Changes in the use of other drugs</w:t>
      </w:r>
    </w:p>
    <w:p w14:paraId="3F5500AA" w14:textId="064E24B8" w:rsidR="00515394" w:rsidRDefault="0056705E" w:rsidP="001E5EDB">
      <w:pPr>
        <w:jc w:val="center"/>
      </w:pPr>
      <w:r>
        <w:rPr>
          <w:noProof/>
        </w:rPr>
        <w:drawing>
          <wp:inline distT="0" distB="0" distL="0" distR="0" wp14:anchorId="7EE362DC" wp14:editId="2A041F81">
            <wp:extent cx="4868883" cy="2921330"/>
            <wp:effectExtent l="0" t="0" r="8255" b="12700"/>
            <wp:docPr id="1083476624" name="Chart 1">
              <a:extLst xmlns:a="http://schemas.openxmlformats.org/drawingml/2006/main">
                <a:ext uri="{FF2B5EF4-FFF2-40B4-BE49-F238E27FC236}">
                  <a16:creationId xmlns:a16="http://schemas.microsoft.com/office/drawing/2014/main" id="{3D6E3C94-642C-BAE8-EA07-427BDB93D51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01D1E7" w14:textId="6C3CFC0B" w:rsidR="0060168F" w:rsidRDefault="0060168F" w:rsidP="0060168F">
      <w:pPr>
        <w:pStyle w:val="Figuretitle"/>
      </w:pPr>
      <w:r>
        <w:t xml:space="preserve">Figure </w:t>
      </w:r>
      <w:r w:rsidR="009B76C7">
        <w:t>8</w:t>
      </w:r>
      <w:r>
        <w:t>: Utilisation of medicines for the treatment of SMA</w:t>
      </w:r>
      <w:r w:rsidR="004B64AC">
        <w:t xml:space="preserve"> in</w:t>
      </w:r>
      <w:r>
        <w:t xml:space="preserve"> </w:t>
      </w:r>
      <w:r w:rsidR="004B64AC">
        <w:t>adults</w:t>
      </w:r>
    </w:p>
    <w:p w14:paraId="04C6479C" w14:textId="77777777" w:rsidR="008D52D6" w:rsidRDefault="008D52D6" w:rsidP="00661125"/>
    <w:p w14:paraId="4C97F577" w14:textId="70298AFF" w:rsidR="00F750C6" w:rsidRDefault="00F750C6" w:rsidP="00661125">
      <w:r>
        <w:t>Figure 8 shows utilisation of medicines for SMA in adults.</w:t>
      </w:r>
      <w:r w:rsidR="00986B13">
        <w:t xml:space="preserve"> </w:t>
      </w:r>
      <w:r w:rsidR="00BB5299">
        <w:t>Most patients were treated with nusine</w:t>
      </w:r>
      <w:r w:rsidR="00ED3A23">
        <w:t>rs</w:t>
      </w:r>
      <w:r w:rsidR="00BB5299">
        <w:t xml:space="preserve">en </w:t>
      </w:r>
      <w:r w:rsidR="00ED3A23">
        <w:t xml:space="preserve">up until 2023Q4, however from 2024Q1 onwards, a greater number of patients were treated with risdiplam compared to nusinersen. </w:t>
      </w:r>
      <w:r w:rsidR="00486D8C">
        <w:t xml:space="preserve"> </w:t>
      </w:r>
    </w:p>
    <w:p w14:paraId="2A85D87B" w14:textId="77777777" w:rsidR="005834F8" w:rsidRDefault="005834F8" w:rsidP="00F8514E">
      <w:pPr>
        <w:pStyle w:val="Tabletitle"/>
      </w:pPr>
    </w:p>
    <w:p w14:paraId="2CD1D412" w14:textId="32D18270" w:rsidR="00F8514E" w:rsidRDefault="00F8514E" w:rsidP="00F8514E">
      <w:pPr>
        <w:pStyle w:val="Tabletitle"/>
      </w:pPr>
      <w:r w:rsidRPr="001420B3" w:rsidDel="00EE2BBB">
        <w:t xml:space="preserve">Table </w:t>
      </w:r>
      <w:r w:rsidR="00F94636">
        <w:t>4</w:t>
      </w:r>
      <w:r w:rsidRPr="001420B3" w:rsidDel="00EE2BBB">
        <w:t xml:space="preserve">: </w:t>
      </w:r>
      <w:r w:rsidR="00E86982">
        <w:t>Treatment s</w:t>
      </w:r>
      <w:r>
        <w:t xml:space="preserve">equence of </w:t>
      </w:r>
      <w:r w:rsidR="00E86982">
        <w:t xml:space="preserve">adult SMA </w:t>
      </w:r>
      <w:r w:rsidR="00CA60EC">
        <w:t>listings</w:t>
      </w:r>
    </w:p>
    <w:tbl>
      <w:tblPr>
        <w:tblStyle w:val="TableGrid"/>
        <w:tblW w:w="5000" w:type="pct"/>
        <w:tblLook w:val="04A0" w:firstRow="1" w:lastRow="0" w:firstColumn="1" w:lastColumn="0" w:noHBand="0" w:noVBand="1"/>
      </w:tblPr>
      <w:tblGrid>
        <w:gridCol w:w="6091"/>
        <w:gridCol w:w="2856"/>
      </w:tblGrid>
      <w:tr w:rsidR="004350FB" w:rsidRPr="00661125" w14:paraId="6465C078" w14:textId="77777777" w:rsidTr="00DB6E22">
        <w:tc>
          <w:tcPr>
            <w:tcW w:w="3404" w:type="pct"/>
            <w:shd w:val="clear" w:color="auto" w:fill="BFBFBF" w:themeFill="background1" w:themeFillShade="BF"/>
          </w:tcPr>
          <w:p w14:paraId="2FF39644" w14:textId="5FADBB1B" w:rsidR="004350FB" w:rsidRPr="00661125" w:rsidRDefault="004350FB" w:rsidP="00DB6E22">
            <w:pPr>
              <w:spacing w:before="60" w:after="60"/>
              <w:rPr>
                <w:b/>
                <w:bCs/>
                <w:sz w:val="20"/>
                <w:szCs w:val="20"/>
              </w:rPr>
            </w:pPr>
            <w:r w:rsidRPr="00661125">
              <w:rPr>
                <w:b/>
                <w:bCs/>
                <w:sz w:val="20"/>
                <w:szCs w:val="20"/>
              </w:rPr>
              <w:t xml:space="preserve">Sequence  </w:t>
            </w:r>
          </w:p>
        </w:tc>
        <w:tc>
          <w:tcPr>
            <w:tcW w:w="1596" w:type="pct"/>
            <w:shd w:val="clear" w:color="auto" w:fill="BFBFBF" w:themeFill="background1" w:themeFillShade="BF"/>
          </w:tcPr>
          <w:p w14:paraId="41FB6530" w14:textId="6803700B" w:rsidR="004350FB" w:rsidRPr="00661125" w:rsidRDefault="00DB6E22" w:rsidP="00DB6E22">
            <w:pPr>
              <w:spacing w:before="60" w:after="60"/>
              <w:rPr>
                <w:b/>
                <w:bCs/>
                <w:sz w:val="20"/>
                <w:szCs w:val="20"/>
              </w:rPr>
            </w:pPr>
            <w:r w:rsidRPr="00661125">
              <w:rPr>
                <w:b/>
                <w:bCs/>
                <w:sz w:val="20"/>
                <w:szCs w:val="20"/>
              </w:rPr>
              <w:t>Proportion of patients</w:t>
            </w:r>
          </w:p>
        </w:tc>
      </w:tr>
      <w:tr w:rsidR="004350FB" w:rsidRPr="00661125" w14:paraId="4DB2B253" w14:textId="77777777" w:rsidTr="004350FB">
        <w:tc>
          <w:tcPr>
            <w:tcW w:w="3404" w:type="pct"/>
          </w:tcPr>
          <w:p w14:paraId="2E95BA39" w14:textId="424DA848" w:rsidR="004350FB" w:rsidRPr="00661125" w:rsidRDefault="004350FB" w:rsidP="00DB6E22">
            <w:pPr>
              <w:spacing w:before="60" w:after="60"/>
              <w:rPr>
                <w:sz w:val="20"/>
                <w:szCs w:val="20"/>
              </w:rPr>
            </w:pPr>
            <w:r w:rsidRPr="00661125">
              <w:rPr>
                <w:sz w:val="20"/>
                <w:szCs w:val="20"/>
              </w:rPr>
              <w:t xml:space="preserve">NUSINERSEN </w:t>
            </w:r>
          </w:p>
        </w:tc>
        <w:tc>
          <w:tcPr>
            <w:tcW w:w="1596" w:type="pct"/>
          </w:tcPr>
          <w:p w14:paraId="0277EC59" w14:textId="67979B60" w:rsidR="004350FB" w:rsidRPr="00661125" w:rsidRDefault="006C4402" w:rsidP="00DB6E22">
            <w:pPr>
              <w:spacing w:before="60" w:after="60"/>
              <w:rPr>
                <w:sz w:val="20"/>
                <w:szCs w:val="20"/>
              </w:rPr>
            </w:pPr>
            <w:r w:rsidRPr="00661125">
              <w:rPr>
                <w:sz w:val="20"/>
                <w:szCs w:val="20"/>
              </w:rPr>
              <w:t>5</w:t>
            </w:r>
            <w:r w:rsidR="0011379C" w:rsidRPr="00661125">
              <w:rPr>
                <w:sz w:val="20"/>
                <w:szCs w:val="20"/>
              </w:rPr>
              <w:t>1</w:t>
            </w:r>
            <w:r w:rsidRPr="00661125">
              <w:rPr>
                <w:sz w:val="20"/>
                <w:szCs w:val="20"/>
              </w:rPr>
              <w:t>%</w:t>
            </w:r>
          </w:p>
        </w:tc>
      </w:tr>
      <w:tr w:rsidR="004350FB" w:rsidRPr="00661125" w14:paraId="09545644" w14:textId="77777777" w:rsidTr="004350FB">
        <w:tc>
          <w:tcPr>
            <w:tcW w:w="3404" w:type="pct"/>
          </w:tcPr>
          <w:p w14:paraId="5B70097F" w14:textId="32C252E0" w:rsidR="004350FB" w:rsidRPr="00661125" w:rsidRDefault="004350FB" w:rsidP="00DB6E22">
            <w:pPr>
              <w:spacing w:before="60" w:after="60"/>
              <w:rPr>
                <w:sz w:val="20"/>
                <w:szCs w:val="20"/>
              </w:rPr>
            </w:pPr>
            <w:r w:rsidRPr="00661125">
              <w:rPr>
                <w:sz w:val="20"/>
                <w:szCs w:val="20"/>
              </w:rPr>
              <w:t xml:space="preserve">RISDIPLAM </w:t>
            </w:r>
          </w:p>
        </w:tc>
        <w:tc>
          <w:tcPr>
            <w:tcW w:w="1596" w:type="pct"/>
          </w:tcPr>
          <w:p w14:paraId="6CC2D438" w14:textId="7E3291D9" w:rsidR="004350FB" w:rsidRPr="00661125" w:rsidRDefault="006C4402" w:rsidP="00DB6E22">
            <w:pPr>
              <w:spacing w:before="60" w:after="60"/>
              <w:rPr>
                <w:sz w:val="20"/>
                <w:szCs w:val="20"/>
              </w:rPr>
            </w:pPr>
            <w:r w:rsidRPr="00661125">
              <w:rPr>
                <w:sz w:val="20"/>
                <w:szCs w:val="20"/>
              </w:rPr>
              <w:t>27%</w:t>
            </w:r>
          </w:p>
        </w:tc>
      </w:tr>
      <w:tr w:rsidR="004350FB" w:rsidRPr="00661125" w14:paraId="5DCD0729" w14:textId="77777777" w:rsidTr="004350FB">
        <w:tc>
          <w:tcPr>
            <w:tcW w:w="3404" w:type="pct"/>
          </w:tcPr>
          <w:p w14:paraId="037E342A" w14:textId="11E93445" w:rsidR="004350FB" w:rsidRPr="00661125" w:rsidRDefault="004350FB" w:rsidP="00DB6E22">
            <w:pPr>
              <w:spacing w:before="60" w:after="60"/>
              <w:rPr>
                <w:sz w:val="20"/>
                <w:szCs w:val="20"/>
              </w:rPr>
            </w:pPr>
            <w:r w:rsidRPr="00661125">
              <w:rPr>
                <w:sz w:val="20"/>
                <w:szCs w:val="20"/>
              </w:rPr>
              <w:t>NUSINERSEN</w:t>
            </w:r>
            <w:r w:rsidR="00E07CB9">
              <w:rPr>
                <w:rFonts w:cstheme="minorHAnsi"/>
                <w:sz w:val="20"/>
                <w:szCs w:val="20"/>
              </w:rPr>
              <w:t>→</w:t>
            </w:r>
            <w:r w:rsidRPr="00661125">
              <w:rPr>
                <w:sz w:val="20"/>
                <w:szCs w:val="20"/>
              </w:rPr>
              <w:t xml:space="preserve">RISDIPLAM </w:t>
            </w:r>
          </w:p>
        </w:tc>
        <w:tc>
          <w:tcPr>
            <w:tcW w:w="1596" w:type="pct"/>
          </w:tcPr>
          <w:p w14:paraId="7B6E9EBF" w14:textId="3E691B83" w:rsidR="004350FB" w:rsidRPr="00661125" w:rsidRDefault="006C4402" w:rsidP="00DB6E22">
            <w:pPr>
              <w:spacing w:before="60" w:after="60"/>
              <w:rPr>
                <w:sz w:val="20"/>
                <w:szCs w:val="20"/>
              </w:rPr>
            </w:pPr>
            <w:r w:rsidRPr="00661125">
              <w:rPr>
                <w:sz w:val="20"/>
                <w:szCs w:val="20"/>
              </w:rPr>
              <w:t>21%</w:t>
            </w:r>
          </w:p>
        </w:tc>
      </w:tr>
      <w:tr w:rsidR="004350FB" w:rsidRPr="00661125" w14:paraId="63874AB9" w14:textId="77777777" w:rsidTr="004350FB">
        <w:tc>
          <w:tcPr>
            <w:tcW w:w="3404" w:type="pct"/>
          </w:tcPr>
          <w:p w14:paraId="1D98A0D0" w14:textId="08132349" w:rsidR="004350FB" w:rsidRPr="00661125" w:rsidRDefault="004350FB" w:rsidP="00DB6E22">
            <w:pPr>
              <w:spacing w:before="60" w:after="60"/>
              <w:rPr>
                <w:sz w:val="20"/>
                <w:szCs w:val="20"/>
              </w:rPr>
            </w:pPr>
            <w:r w:rsidRPr="00661125">
              <w:rPr>
                <w:sz w:val="20"/>
                <w:szCs w:val="20"/>
              </w:rPr>
              <w:t>RISDIPLAM</w:t>
            </w:r>
            <w:r w:rsidR="00E07CB9">
              <w:rPr>
                <w:rFonts w:cstheme="minorHAnsi"/>
                <w:sz w:val="20"/>
                <w:szCs w:val="20"/>
              </w:rPr>
              <w:t>→</w:t>
            </w:r>
            <w:r w:rsidRPr="00661125">
              <w:rPr>
                <w:sz w:val="20"/>
                <w:szCs w:val="20"/>
              </w:rPr>
              <w:t>NUSINERSEN</w:t>
            </w:r>
          </w:p>
        </w:tc>
        <w:tc>
          <w:tcPr>
            <w:tcW w:w="1596" w:type="pct"/>
          </w:tcPr>
          <w:p w14:paraId="4C43E3CF" w14:textId="657FBB3F" w:rsidR="004350FB" w:rsidRPr="00661125" w:rsidRDefault="00DB6E22" w:rsidP="00DB6E22">
            <w:pPr>
              <w:spacing w:before="60" w:after="60"/>
              <w:rPr>
                <w:sz w:val="20"/>
                <w:szCs w:val="20"/>
              </w:rPr>
            </w:pPr>
            <w:r w:rsidRPr="00661125">
              <w:rPr>
                <w:sz w:val="20"/>
                <w:szCs w:val="20"/>
              </w:rPr>
              <w:t>1%</w:t>
            </w:r>
          </w:p>
        </w:tc>
      </w:tr>
    </w:tbl>
    <w:p w14:paraId="6962921B" w14:textId="77777777" w:rsidR="00DD2AFD" w:rsidRDefault="00DD2AFD" w:rsidP="00A35800"/>
    <w:p w14:paraId="759D07C5" w14:textId="76198374" w:rsidR="005834F8" w:rsidRDefault="000C0D37" w:rsidP="00E07CB9">
      <w:r>
        <w:t xml:space="preserve">As shown in Table 4, the majority of </w:t>
      </w:r>
      <w:r w:rsidR="00F52DE7">
        <w:t xml:space="preserve">adult </w:t>
      </w:r>
      <w:r>
        <w:t xml:space="preserve">patients have only been treated with </w:t>
      </w:r>
      <w:r w:rsidR="00F52DE7">
        <w:t>nusinersen for SMA</w:t>
      </w:r>
      <w:r w:rsidR="002038A4">
        <w:t xml:space="preserve"> (51%). Approximately 48% of patients have </w:t>
      </w:r>
      <w:r w:rsidR="00DF387A">
        <w:t xml:space="preserve">initiated therapy with risdiplam or have switched to risdiplam from nusinersen. </w:t>
      </w:r>
    </w:p>
    <w:p w14:paraId="3555DFBA" w14:textId="0CBA5D28" w:rsidR="00591512" w:rsidRDefault="00AB3733" w:rsidP="00F73113">
      <w:pPr>
        <w:pStyle w:val="Heading1"/>
      </w:pPr>
      <w:r>
        <w:lastRenderedPageBreak/>
        <w:t>D</w:t>
      </w:r>
      <w:r w:rsidR="007346C7" w:rsidRPr="005E22C2">
        <w:t>iscussion</w:t>
      </w:r>
    </w:p>
    <w:p w14:paraId="1DA25C04" w14:textId="6F0BC144" w:rsidR="00DB465C" w:rsidRDefault="00D440EC" w:rsidP="00386FEE">
      <w:r>
        <w:t xml:space="preserve">As part of the </w:t>
      </w:r>
      <w:r w:rsidR="00B5292F">
        <w:t xml:space="preserve">PBAC’s consideration of nusinersen at its March 2022 meeting, </w:t>
      </w:r>
      <w:r w:rsidR="0006020E">
        <w:t xml:space="preserve">the </w:t>
      </w:r>
      <w:r w:rsidR="00087614">
        <w:t xml:space="preserve">sponsor’s </w:t>
      </w:r>
      <w:r w:rsidR="00912278" w:rsidRPr="00912278">
        <w:t>pre</w:t>
      </w:r>
      <w:r w:rsidR="00BB7ABC">
        <w:t>-</w:t>
      </w:r>
      <w:r w:rsidR="00912278" w:rsidRPr="00912278">
        <w:t>PBAC response (p3) noted that the uptake is expected to be limited and tempered by patient choice, suitability of spinal access for intrathecal administration and the overall risk-benefit assessment between patient and clinician. The Pre-PBAC response also stated that a modest uptake rate has be</w:t>
      </w:r>
      <w:r w:rsidR="002B54EF">
        <w:t>e</w:t>
      </w:r>
      <w:r w:rsidR="00912278" w:rsidRPr="00912278">
        <w:t>n observed in the nusinersen access program. The PBAC noted that this was consistent with clinical input from the sponsor hearing and considered that the uptake rates appeared to be reasonable</w:t>
      </w:r>
      <w:r w:rsidR="00817209">
        <w:t xml:space="preserve"> </w:t>
      </w:r>
      <w:r w:rsidR="00DB465C">
        <w:t xml:space="preserve">(paragraph 6.83, nusinersen PSD March 2022 PBAC meeting). </w:t>
      </w:r>
    </w:p>
    <w:p w14:paraId="3876CA64" w14:textId="310243B7" w:rsidR="00AE3CCE" w:rsidRDefault="0031598E" w:rsidP="00AE3CCE">
      <w:r>
        <w:t xml:space="preserve">As shown in Figure </w:t>
      </w:r>
      <w:r w:rsidR="009B104F">
        <w:t>8</w:t>
      </w:r>
      <w:r>
        <w:t xml:space="preserve">, there </w:t>
      </w:r>
      <w:r w:rsidR="002A5FB4">
        <w:t>were more patients treated with risdiplam compared to nusinersen. As part of t</w:t>
      </w:r>
      <w:r w:rsidR="00235B03" w:rsidRPr="00CE5129">
        <w:t>he PBAC</w:t>
      </w:r>
      <w:r w:rsidR="002A5FB4">
        <w:t>’s consideration of risidiplam, the PBAC</w:t>
      </w:r>
      <w:r w:rsidR="00235B03" w:rsidRPr="00CE5129">
        <w:t xml:space="preserve"> acknowledged that there is a clinical need for an orally administered treatment for SMA, noting the important factors for patients and carers associated with the less invasive route of administration. As identified in consumer comments, risdiplam has advantages in reducing the treatment burden for patients in terms of increasing independence and reducing the need for patients to travel to specialist hospitals for administration of treatment. The PBAC also noted that there are likely to be patients for whom intrathecal administration of nusinersen is not feasible due to high grade scoliosis</w:t>
      </w:r>
      <w:r w:rsidR="00732053">
        <w:t xml:space="preserve"> (paragraph 7.3, risdiplam PSD March 2023 PBAC meeting)</w:t>
      </w:r>
      <w:r w:rsidR="00235B03">
        <w:t xml:space="preserve">. </w:t>
      </w:r>
    </w:p>
    <w:p w14:paraId="2C72C130" w14:textId="0B25BAE3" w:rsidR="00587EE4" w:rsidRDefault="006A7BC6" w:rsidP="00F1132C">
      <w:r>
        <w:t>As part of its recommendation, t</w:t>
      </w:r>
      <w:r w:rsidR="00AE3CCE" w:rsidRPr="00FE0621">
        <w:t>he PBAC considered the</w:t>
      </w:r>
      <w:r w:rsidR="00AE3CCE">
        <w:t xml:space="preserve"> </w:t>
      </w:r>
      <w:r w:rsidR="00AE3CCE" w:rsidRPr="00FE0621">
        <w:t>restrictions should require that assessment of suitability for continuation of treatment</w:t>
      </w:r>
      <w:r w:rsidR="00AE3CCE">
        <w:t xml:space="preserve"> </w:t>
      </w:r>
      <w:r w:rsidR="00AE3CCE" w:rsidRPr="00FE0621">
        <w:t>takes place every 6 months after 2 years of treatment</w:t>
      </w:r>
      <w:r w:rsidR="00AE3CCE">
        <w:t xml:space="preserve"> (paragraph 7.4, nusinersen PSD March 2022 PBAC meeting). At the time of this review, the data </w:t>
      </w:r>
      <w:r w:rsidR="00324E00">
        <w:t>was</w:t>
      </w:r>
      <w:r w:rsidR="00AE3CCE">
        <w:t xml:space="preserve"> not mature to see the effects of the continuation rule</w:t>
      </w:r>
      <w:r>
        <w:t xml:space="preserve"> or to examine the median treatment duration. </w:t>
      </w:r>
    </w:p>
    <w:p w14:paraId="007369A6" w14:textId="77777777" w:rsidR="00F3702A" w:rsidRDefault="00F3702A" w:rsidP="00F3702A">
      <w:pPr>
        <w:pStyle w:val="Heading1"/>
      </w:pPr>
      <w:r>
        <w:t>DUSC consideration</w:t>
      </w:r>
    </w:p>
    <w:p w14:paraId="3AB8B348" w14:textId="77777777" w:rsidR="006C2987" w:rsidRPr="005B529D" w:rsidRDefault="006C2987" w:rsidP="006C2987">
      <w:pPr>
        <w:rPr>
          <w:i/>
          <w:iCs/>
        </w:rPr>
      </w:pPr>
      <w:r w:rsidRPr="00184943">
        <w:t>DUSC noted the</w:t>
      </w:r>
      <w:r>
        <w:t xml:space="preserve"> differences in </w:t>
      </w:r>
      <w:r w:rsidRPr="00184943">
        <w:t xml:space="preserve">mechanism of </w:t>
      </w:r>
      <w:r>
        <w:t xml:space="preserve">action </w:t>
      </w:r>
      <w:r w:rsidRPr="00184943">
        <w:t xml:space="preserve">between nusinersen, risdiplam and </w:t>
      </w:r>
      <w:r w:rsidRPr="0036043C">
        <w:t>onasemnogene abeparvovec</w:t>
      </w:r>
      <w:r>
        <w:t xml:space="preserve"> and noted the adverse events associated with these medicines.</w:t>
      </w:r>
      <w:r>
        <w:rPr>
          <w:rStyle w:val="FootnoteReference"/>
        </w:rPr>
        <w:footnoteReference w:id="8"/>
      </w:r>
      <w:r>
        <w:rPr>
          <w:vertAlign w:val="superscript"/>
        </w:rPr>
        <w:t>,</w:t>
      </w:r>
      <w:r>
        <w:rPr>
          <w:rStyle w:val="FootnoteReference"/>
        </w:rPr>
        <w:footnoteReference w:id="9"/>
      </w:r>
      <w:r>
        <w:rPr>
          <w:vertAlign w:val="superscript"/>
        </w:rPr>
        <w:t>,</w:t>
      </w:r>
      <w:r>
        <w:rPr>
          <w:rStyle w:val="FootnoteReference"/>
        </w:rPr>
        <w:footnoteReference w:id="10"/>
      </w:r>
    </w:p>
    <w:p w14:paraId="45820EA3" w14:textId="358C5251" w:rsidR="006C2987" w:rsidRDefault="006C2987" w:rsidP="006C2987">
      <w:r w:rsidRPr="00184943">
        <w:t xml:space="preserve">DUSC noted </w:t>
      </w:r>
      <w:r>
        <w:t xml:space="preserve">the utilisation of </w:t>
      </w:r>
      <w:r w:rsidRPr="00184943">
        <w:t xml:space="preserve">PBS-listed for spinal muscular </w:t>
      </w:r>
      <w:r>
        <w:t xml:space="preserve">atrophy in adults: </w:t>
      </w:r>
      <w:r w:rsidRPr="00184943">
        <w:t>nusinersen and risdiplam</w:t>
      </w:r>
      <w:r>
        <w:t xml:space="preserve">.  DUSC noted nusinersen and risdiplam were initially listed for the treatment of Type I, II, IIIa SMA in children in June 2018 and August 2021 respectively, and their listings were extended to include adult patients in August 2022 and October 2023 </w:t>
      </w:r>
      <w:r>
        <w:lastRenderedPageBreak/>
        <w:t>respectively. DUSC noted the increase in the size of the SMA market following extension to include adult patients.</w:t>
      </w:r>
    </w:p>
    <w:p w14:paraId="098294AB" w14:textId="11D31845" w:rsidR="006C2987" w:rsidRDefault="006C2987" w:rsidP="006C2987">
      <w:r>
        <w:t xml:space="preserve">DUSC noted most adult patients were treated with risdiplam and noted the </w:t>
      </w:r>
      <w:r w:rsidRPr="00184943">
        <w:t xml:space="preserve">differences in </w:t>
      </w:r>
      <w:r>
        <w:t xml:space="preserve">the </w:t>
      </w:r>
      <w:r w:rsidRPr="00184943">
        <w:t>mode</w:t>
      </w:r>
      <w:r>
        <w:t xml:space="preserve"> and</w:t>
      </w:r>
      <w:r w:rsidRPr="00184943">
        <w:t xml:space="preserve"> frequency of administration</w:t>
      </w:r>
      <w:r>
        <w:t xml:space="preserve"> between nusinersen and risdiplam. DUSC noted an increase in the number of initiating SMA treatment following risdiplam listing and noted 21% of patients had switched from nusinersen to risdiplam.  </w:t>
      </w:r>
    </w:p>
    <w:p w14:paraId="71ADCB74" w14:textId="28FB82D9" w:rsidR="006C2987" w:rsidRDefault="006C2987" w:rsidP="006C2987">
      <w:r>
        <w:t xml:space="preserve">DUSC noted the data were too immature to determine median duration of treatment. DUSC noted the Pre-Sub-Committee Response (PSCR, p3) provided SMA registry data as requested by the PBAC as part of its recommendation in order to inform uptake and continuation rates (paragraph 7.12 nusinersen PSD, March 2022 PBAC meeting). The sponsor noted registry data only represents aggregate data and PBS data would be more appropriate to inform continuation and persistence. </w:t>
      </w:r>
    </w:p>
    <w:p w14:paraId="6ECA74AA" w14:textId="77777777" w:rsidR="00F3702A" w:rsidRDefault="00F3702A" w:rsidP="00F3702A">
      <w:pPr>
        <w:pStyle w:val="Heading1"/>
      </w:pPr>
      <w:r>
        <w:t>DUSC actions</w:t>
      </w:r>
    </w:p>
    <w:p w14:paraId="7470FD4A" w14:textId="74959660" w:rsidR="006C2987" w:rsidRPr="005D58C1" w:rsidRDefault="006C2987" w:rsidP="00F3702A">
      <w:r w:rsidRPr="005D58C1">
        <w:t>DUSC requested that the report be provided to the PBAC for consideration.</w:t>
      </w:r>
    </w:p>
    <w:p w14:paraId="2AC125E6" w14:textId="77777777" w:rsidR="00F3702A" w:rsidRDefault="00F3702A" w:rsidP="00F3702A">
      <w:pPr>
        <w:pStyle w:val="Heading1"/>
      </w:pPr>
      <w:r w:rsidRPr="0092516A">
        <w:t>Context for analysis</w:t>
      </w:r>
    </w:p>
    <w:p w14:paraId="4ED7A399" w14:textId="77777777" w:rsidR="00F3702A" w:rsidRDefault="00F3702A" w:rsidP="00F3702A">
      <w:r>
        <w:t>The DUSC is a Sub Committee of the Pharmaceutical Benefits Advisory Committee (PBAC). The DUSC assesses estimates on projected usage and financial cost of medicines.</w:t>
      </w:r>
    </w:p>
    <w:p w14:paraId="41AC0384" w14:textId="77777777" w:rsidR="00F3702A" w:rsidRDefault="00F3702A" w:rsidP="00F3702A">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7F0FBE1C" w14:textId="77777777" w:rsidR="00F3702A" w:rsidRDefault="00F3702A" w:rsidP="00F3702A">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19FD2C3D" w14:textId="77777777" w:rsidR="00F3702A" w:rsidRDefault="00F3702A" w:rsidP="00F3702A">
      <w:r>
        <w:t>The utilisation analysis report was provided to the pharmaceutical sponsors of each drug and comments on the report were provided to DUSC prior to its consideration of the analysis.</w:t>
      </w:r>
    </w:p>
    <w:p w14:paraId="2096E193" w14:textId="77777777" w:rsidR="00F3702A" w:rsidRDefault="00F3702A" w:rsidP="00F3702A">
      <w:pPr>
        <w:pStyle w:val="Heading1"/>
      </w:pPr>
      <w:r>
        <w:t>Sponsor</w:t>
      </w:r>
      <w:r w:rsidRPr="0092516A">
        <w:t>s</w:t>
      </w:r>
      <w:r>
        <w:t>’</w:t>
      </w:r>
      <w:r w:rsidRPr="0092516A">
        <w:t xml:space="preserve"> comments</w:t>
      </w:r>
    </w:p>
    <w:p w14:paraId="3766763D" w14:textId="093AE8DC" w:rsidR="003271B5" w:rsidRDefault="003271B5" w:rsidP="00F3702A">
      <w:r>
        <w:t>Biogen Australia Pty Ltd:</w:t>
      </w:r>
      <w:r w:rsidR="00E976A3">
        <w:t xml:space="preserve"> The sponsor ha</w:t>
      </w:r>
      <w:r w:rsidR="00CC2DB3">
        <w:t>d</w:t>
      </w:r>
      <w:r w:rsidR="00E976A3">
        <w:t xml:space="preserve"> no comment. </w:t>
      </w:r>
    </w:p>
    <w:p w14:paraId="7B45FE84" w14:textId="77777777" w:rsidR="00F3702A" w:rsidRDefault="00F3702A" w:rsidP="00F3702A">
      <w:pPr>
        <w:pStyle w:val="Heading1"/>
      </w:pPr>
      <w:r w:rsidRPr="00A4020E">
        <w:lastRenderedPageBreak/>
        <w:t>Disclaimer</w:t>
      </w:r>
    </w:p>
    <w:p w14:paraId="4741FB80" w14:textId="77777777" w:rsidR="00F3702A" w:rsidRDefault="00F3702A" w:rsidP="00F3702A">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495A268E" w14:textId="579C0204" w:rsidR="00F3702A" w:rsidRDefault="00F3702A" w:rsidP="00F3702A">
      <w:r>
        <w:t xml:space="preserve">The </w:t>
      </w:r>
      <w:r w:rsidR="003271B5">
        <w:t>Department of Health, Disability and Ageing</w:t>
      </w:r>
      <w:r>
        <w:t xml:space="preserve">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2285F340" w14:textId="64C1F3DF" w:rsidR="00F3702A" w:rsidRDefault="00F3702A" w:rsidP="00F3702A">
      <w:r>
        <w:t xml:space="preserve">To the extent provided by law, the </w:t>
      </w:r>
      <w:r w:rsidR="003271B5">
        <w:t>Department of Health, Disability and Ageing</w:t>
      </w:r>
      <w:r>
        <w:t xml:space="preserve"> makes no warranties or representations as to accuracy or completeness of information contained in this report. </w:t>
      </w:r>
    </w:p>
    <w:p w14:paraId="6A17FB6D" w14:textId="72DF55CF" w:rsidR="00EA1720" w:rsidRPr="00792948" w:rsidRDefault="00F3702A" w:rsidP="00DB465C">
      <w:r>
        <w:t xml:space="preserve">To the fullest extent permitted by law, neither the </w:t>
      </w:r>
      <w:r w:rsidR="003271B5">
        <w:t>Department of Health, Disability and Ageing</w:t>
      </w:r>
      <w:r>
        <w:t xml:space="preserve"> nor any </w:t>
      </w:r>
      <w:r w:rsidR="003271B5">
        <w:t>Department of Health, Disability and Ageing</w:t>
      </w:r>
      <w:r>
        <w:t xml:space="preserve">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716C9857" w14:textId="77777777" w:rsidR="00EF3147" w:rsidRDefault="00EF3147">
      <w:pPr>
        <w:spacing w:line="276" w:lineRule="auto"/>
        <w:rPr>
          <w:rFonts w:eastAsiaTheme="majorEastAsia" w:cstheme="majorBidi"/>
          <w:b/>
          <w:bCs/>
          <w:sz w:val="32"/>
          <w:szCs w:val="32"/>
        </w:rPr>
      </w:pPr>
      <w:r>
        <w:br w:type="page"/>
      </w:r>
    </w:p>
    <w:p w14:paraId="32591154" w14:textId="127A1B0E" w:rsidR="006A370B" w:rsidRDefault="002C6E0C" w:rsidP="002C3065">
      <w:pPr>
        <w:pStyle w:val="Heading1"/>
      </w:pPr>
      <w:r>
        <w:lastRenderedPageBreak/>
        <w:t>Appendices</w:t>
      </w:r>
    </w:p>
    <w:p w14:paraId="37764198" w14:textId="186E5BC8" w:rsidR="006A370B" w:rsidRDefault="006A370B" w:rsidP="006A370B">
      <w:pPr>
        <w:pStyle w:val="Tabletitle"/>
      </w:pPr>
      <w:r>
        <w:t xml:space="preserve">Appendix </w:t>
      </w:r>
      <w:r w:rsidR="00C46D1F">
        <w:t>A</w:t>
      </w:r>
      <w:r>
        <w:t xml:space="preserve">: </w:t>
      </w:r>
      <w:r w:rsidR="00276954" w:rsidDel="00EE2BBB">
        <w:t>PBS listing</w:t>
      </w:r>
      <w:r w:rsidR="00276954">
        <w:t xml:space="preserve"> details</w:t>
      </w:r>
      <w:r w:rsidR="00276954" w:rsidDel="00EE2BBB">
        <w:t xml:space="preserve"> of </w:t>
      </w:r>
      <w:r w:rsidR="00276954">
        <w:t>risdiplam for SMA in adults</w:t>
      </w:r>
      <w:r w:rsidR="00276954" w:rsidDel="00EE2BBB">
        <w:t xml:space="preserve"> </w:t>
      </w:r>
      <w:r w:rsidR="003271B5">
        <w:t xml:space="preserve">as at March 2025 </w:t>
      </w:r>
    </w:p>
    <w:tbl>
      <w:tblPr>
        <w:tblStyle w:val="TableGrid"/>
        <w:tblW w:w="9064" w:type="dxa"/>
        <w:tblLayout w:type="fixed"/>
        <w:tblLook w:val="04A0" w:firstRow="1" w:lastRow="0" w:firstColumn="1" w:lastColumn="0" w:noHBand="0" w:noVBand="1"/>
      </w:tblPr>
      <w:tblGrid>
        <w:gridCol w:w="969"/>
        <w:gridCol w:w="3704"/>
        <w:gridCol w:w="709"/>
        <w:gridCol w:w="709"/>
        <w:gridCol w:w="1275"/>
        <w:gridCol w:w="1698"/>
      </w:tblGrid>
      <w:tr w:rsidR="006A370B" w:rsidRPr="00E86962" w:rsidDel="00EE2BBB" w14:paraId="08AA6ED9" w14:textId="77777777" w:rsidTr="00D96BE4">
        <w:trPr>
          <w:trHeight w:val="694"/>
          <w:tblHeader/>
        </w:trPr>
        <w:tc>
          <w:tcPr>
            <w:tcW w:w="969" w:type="dxa"/>
            <w:shd w:val="clear" w:color="auto" w:fill="BFBFBF" w:themeFill="background1" w:themeFillShade="BF"/>
          </w:tcPr>
          <w:p w14:paraId="4EBF31FE" w14:textId="77777777" w:rsidR="006A370B" w:rsidRPr="00E86962" w:rsidDel="00EE2BBB" w:rsidRDefault="006A370B" w:rsidP="00D96BE4">
            <w:pPr>
              <w:pStyle w:val="Tableheading"/>
              <w:spacing w:beforeLines="60" w:before="144" w:afterLines="60" w:after="144"/>
              <w:rPr>
                <w:sz w:val="20"/>
                <w:szCs w:val="20"/>
              </w:rPr>
            </w:pPr>
            <w:r w:rsidRPr="00E86962" w:rsidDel="00EE2BBB">
              <w:rPr>
                <w:sz w:val="20"/>
                <w:szCs w:val="20"/>
              </w:rPr>
              <w:t>Item</w:t>
            </w:r>
            <w:r>
              <w:rPr>
                <w:sz w:val="20"/>
                <w:szCs w:val="20"/>
              </w:rPr>
              <w:t xml:space="preserve"> code</w:t>
            </w:r>
          </w:p>
        </w:tc>
        <w:tc>
          <w:tcPr>
            <w:tcW w:w="3704" w:type="dxa"/>
            <w:shd w:val="clear" w:color="auto" w:fill="BFBFBF" w:themeFill="background1" w:themeFillShade="BF"/>
          </w:tcPr>
          <w:p w14:paraId="17EDCBF2" w14:textId="77777777" w:rsidR="006A370B" w:rsidRPr="00E86962" w:rsidDel="00EE2BBB" w:rsidRDefault="006A370B" w:rsidP="00D96BE4">
            <w:pPr>
              <w:pStyle w:val="Tableheading"/>
              <w:spacing w:beforeLines="60" w:before="144" w:afterLines="60" w:after="144"/>
              <w:rPr>
                <w:sz w:val="20"/>
                <w:szCs w:val="20"/>
              </w:rPr>
            </w:pPr>
            <w:r w:rsidRPr="00E86962" w:rsidDel="00EE2BBB">
              <w:rPr>
                <w:sz w:val="20"/>
                <w:szCs w:val="20"/>
              </w:rPr>
              <w:t>Name, form &amp; strength, pack size</w:t>
            </w:r>
          </w:p>
        </w:tc>
        <w:tc>
          <w:tcPr>
            <w:tcW w:w="709" w:type="dxa"/>
            <w:shd w:val="clear" w:color="auto" w:fill="BFBFBF" w:themeFill="background1" w:themeFillShade="BF"/>
          </w:tcPr>
          <w:p w14:paraId="18B5C142" w14:textId="77777777" w:rsidR="006A370B" w:rsidRPr="00E86962" w:rsidDel="00EE2BBB" w:rsidRDefault="006A370B" w:rsidP="00D96BE4">
            <w:pPr>
              <w:pStyle w:val="Tableheading"/>
              <w:spacing w:beforeLines="60" w:before="144" w:afterLines="60" w:after="144"/>
              <w:rPr>
                <w:sz w:val="20"/>
                <w:szCs w:val="20"/>
              </w:rPr>
            </w:pPr>
            <w:r w:rsidRPr="00E86962" w:rsidDel="00EE2BBB">
              <w:rPr>
                <w:sz w:val="20"/>
                <w:szCs w:val="20"/>
              </w:rPr>
              <w:t xml:space="preserve">Max. </w:t>
            </w:r>
            <w:r>
              <w:rPr>
                <w:sz w:val="20"/>
                <w:szCs w:val="20"/>
              </w:rPr>
              <w:t>qty</w:t>
            </w:r>
            <w:r w:rsidRPr="00E86962" w:rsidDel="00EE2BBB">
              <w:rPr>
                <w:sz w:val="20"/>
                <w:szCs w:val="20"/>
              </w:rPr>
              <w:t xml:space="preserve">. </w:t>
            </w:r>
          </w:p>
        </w:tc>
        <w:tc>
          <w:tcPr>
            <w:tcW w:w="709" w:type="dxa"/>
            <w:shd w:val="clear" w:color="auto" w:fill="BFBFBF" w:themeFill="background1" w:themeFillShade="BF"/>
          </w:tcPr>
          <w:p w14:paraId="0FC3B940" w14:textId="77777777" w:rsidR="006A370B" w:rsidRPr="00E86962" w:rsidDel="00EE2BBB" w:rsidRDefault="006A370B" w:rsidP="00D96BE4">
            <w:pPr>
              <w:pStyle w:val="Tableheading"/>
              <w:spacing w:beforeLines="60" w:before="144" w:afterLines="60" w:after="144"/>
              <w:rPr>
                <w:sz w:val="20"/>
                <w:szCs w:val="20"/>
              </w:rPr>
            </w:pPr>
            <w:r w:rsidRPr="00E86962" w:rsidDel="00EE2BBB">
              <w:rPr>
                <w:sz w:val="20"/>
                <w:szCs w:val="20"/>
              </w:rPr>
              <w:t xml:space="preserve">Rpts </w:t>
            </w:r>
          </w:p>
        </w:tc>
        <w:tc>
          <w:tcPr>
            <w:tcW w:w="1275" w:type="dxa"/>
            <w:shd w:val="clear" w:color="auto" w:fill="BFBFBF" w:themeFill="background1" w:themeFillShade="BF"/>
          </w:tcPr>
          <w:p w14:paraId="62A68F89" w14:textId="77777777" w:rsidR="006A370B" w:rsidRPr="00E86962" w:rsidDel="00EE2BBB" w:rsidRDefault="006A370B" w:rsidP="00D96BE4">
            <w:pPr>
              <w:pStyle w:val="Tableheading"/>
              <w:spacing w:beforeLines="60" w:before="144" w:afterLines="60" w:after="144"/>
              <w:rPr>
                <w:sz w:val="20"/>
                <w:szCs w:val="20"/>
              </w:rPr>
            </w:pPr>
            <w:r w:rsidRPr="00E86962" w:rsidDel="00EE2BBB">
              <w:rPr>
                <w:sz w:val="20"/>
                <w:szCs w:val="20"/>
              </w:rPr>
              <w:t>DPMQ</w:t>
            </w:r>
          </w:p>
        </w:tc>
        <w:tc>
          <w:tcPr>
            <w:tcW w:w="1698" w:type="dxa"/>
            <w:shd w:val="clear" w:color="auto" w:fill="BFBFBF" w:themeFill="background1" w:themeFillShade="BF"/>
          </w:tcPr>
          <w:p w14:paraId="2ADD58F5" w14:textId="77777777" w:rsidR="006A370B" w:rsidRPr="00E86962" w:rsidDel="00EE2BBB" w:rsidRDefault="006A370B" w:rsidP="00D96BE4">
            <w:pPr>
              <w:pStyle w:val="Tableheading"/>
              <w:spacing w:beforeLines="60" w:before="144" w:afterLines="60" w:after="144"/>
              <w:rPr>
                <w:sz w:val="20"/>
                <w:szCs w:val="20"/>
              </w:rPr>
            </w:pPr>
            <w:r w:rsidRPr="00E86962" w:rsidDel="00EE2BBB">
              <w:rPr>
                <w:sz w:val="20"/>
                <w:szCs w:val="20"/>
              </w:rPr>
              <w:t>Brand name and manufacturer</w:t>
            </w:r>
          </w:p>
        </w:tc>
      </w:tr>
      <w:tr w:rsidR="00E756C0" w:rsidRPr="00E86962" w:rsidDel="00EE2BBB" w14:paraId="072CC372" w14:textId="77777777" w:rsidTr="00D96BE4">
        <w:trPr>
          <w:trHeight w:val="546"/>
          <w:tblHeader/>
        </w:trPr>
        <w:tc>
          <w:tcPr>
            <w:tcW w:w="969" w:type="dxa"/>
          </w:tcPr>
          <w:p w14:paraId="1B990201" w14:textId="69137CD3" w:rsidR="00E756C0" w:rsidRPr="00013392" w:rsidDel="00EE2BBB" w:rsidRDefault="00E756C0" w:rsidP="00CB55EB">
            <w:pPr>
              <w:pStyle w:val="Tablewriting"/>
              <w:spacing w:beforeLines="60" w:before="144" w:afterLines="60" w:after="144"/>
            </w:pPr>
            <w:r>
              <w:t>13632L</w:t>
            </w:r>
          </w:p>
        </w:tc>
        <w:tc>
          <w:tcPr>
            <w:tcW w:w="3704" w:type="dxa"/>
          </w:tcPr>
          <w:p w14:paraId="57EE9470" w14:textId="086427D3" w:rsidR="00E756C0" w:rsidRPr="00013392" w:rsidDel="00EE2BBB" w:rsidRDefault="00E756C0" w:rsidP="00D96BE4">
            <w:pPr>
              <w:pStyle w:val="Tablewriting"/>
              <w:spacing w:beforeLines="60" w:before="144" w:afterLines="60" w:after="144"/>
            </w:pPr>
            <w:r>
              <w:t xml:space="preserve">risdiplam 750 microgram/ml powder for oral liquid, 80 ml </w:t>
            </w:r>
          </w:p>
        </w:tc>
        <w:tc>
          <w:tcPr>
            <w:tcW w:w="709" w:type="dxa"/>
          </w:tcPr>
          <w:p w14:paraId="76C16FBD" w14:textId="47621A60" w:rsidR="00E756C0" w:rsidRPr="00013392" w:rsidDel="00EE2BBB" w:rsidRDefault="00E756C0" w:rsidP="00D96BE4">
            <w:pPr>
              <w:pStyle w:val="Tablewriting"/>
              <w:spacing w:beforeLines="60" w:before="144" w:afterLines="60" w:after="144"/>
              <w:jc w:val="center"/>
            </w:pPr>
            <w:r>
              <w:t>3</w:t>
            </w:r>
          </w:p>
        </w:tc>
        <w:tc>
          <w:tcPr>
            <w:tcW w:w="709" w:type="dxa"/>
          </w:tcPr>
          <w:p w14:paraId="75E8AACE" w14:textId="5C44CA23" w:rsidR="00E756C0" w:rsidRPr="00013392" w:rsidDel="00EE2BBB" w:rsidRDefault="00E756C0" w:rsidP="00D96BE4">
            <w:pPr>
              <w:pStyle w:val="Tablewriting"/>
              <w:spacing w:beforeLines="60" w:before="144" w:afterLines="60" w:after="144"/>
              <w:jc w:val="center"/>
            </w:pPr>
            <w:r>
              <w:t>7</w:t>
            </w:r>
          </w:p>
        </w:tc>
        <w:tc>
          <w:tcPr>
            <w:tcW w:w="1275" w:type="dxa"/>
          </w:tcPr>
          <w:p w14:paraId="79ED987E" w14:textId="0026E9E2" w:rsidR="00E756C0" w:rsidRPr="00013392" w:rsidDel="00EE2BBB" w:rsidRDefault="00E756C0" w:rsidP="00D96BE4">
            <w:pPr>
              <w:pStyle w:val="Tablewriting"/>
              <w:spacing w:beforeLines="60" w:before="144" w:afterLines="60" w:after="144"/>
            </w:pPr>
            <w:r>
              <w:t>$32,574.33</w:t>
            </w:r>
          </w:p>
        </w:tc>
        <w:tc>
          <w:tcPr>
            <w:tcW w:w="1698" w:type="dxa"/>
            <w:vMerge w:val="restart"/>
          </w:tcPr>
          <w:p w14:paraId="2B001D20" w14:textId="792D8773" w:rsidR="00E756C0" w:rsidRPr="00013392" w:rsidRDefault="00E756C0" w:rsidP="00D96BE4">
            <w:pPr>
              <w:pStyle w:val="Tablewriting"/>
              <w:spacing w:beforeLines="60" w:before="144" w:afterLines="60" w:after="144"/>
            </w:pPr>
            <w:r>
              <w:t>Evrysdi®</w:t>
            </w:r>
          </w:p>
          <w:p w14:paraId="3E6A1823" w14:textId="3FA87BCA" w:rsidR="00E756C0" w:rsidRPr="00013392" w:rsidDel="00EE2BBB" w:rsidRDefault="00E756C0" w:rsidP="00D96BE4">
            <w:pPr>
              <w:pStyle w:val="Tablewriting"/>
              <w:spacing w:beforeLines="60" w:before="144" w:afterLines="60" w:after="144"/>
            </w:pPr>
            <w:r>
              <w:t xml:space="preserve">Roche Products Pty Ltd </w:t>
            </w:r>
          </w:p>
        </w:tc>
      </w:tr>
      <w:tr w:rsidR="00E756C0" w:rsidRPr="00E86962" w:rsidDel="00EE2BBB" w14:paraId="7A41E582" w14:textId="77777777" w:rsidTr="00D96BE4">
        <w:trPr>
          <w:trHeight w:val="546"/>
          <w:tblHeader/>
        </w:trPr>
        <w:tc>
          <w:tcPr>
            <w:tcW w:w="969" w:type="dxa"/>
          </w:tcPr>
          <w:p w14:paraId="5B529FE3" w14:textId="084BAD20" w:rsidR="00E756C0" w:rsidRPr="00013392" w:rsidRDefault="00E756C0" w:rsidP="00D96BE4">
            <w:pPr>
              <w:pStyle w:val="Tablewriting"/>
              <w:spacing w:beforeLines="60" w:before="144" w:afterLines="60" w:after="144"/>
            </w:pPr>
            <w:r>
              <w:t>13654P</w:t>
            </w:r>
          </w:p>
        </w:tc>
        <w:tc>
          <w:tcPr>
            <w:tcW w:w="3704" w:type="dxa"/>
          </w:tcPr>
          <w:p w14:paraId="0BCCBF81" w14:textId="10E0EBEB" w:rsidR="00E756C0" w:rsidRPr="00013392" w:rsidRDefault="00E756C0" w:rsidP="00D96BE4">
            <w:pPr>
              <w:pStyle w:val="Tablewriting"/>
              <w:spacing w:beforeLines="60" w:before="144" w:afterLines="60" w:after="144"/>
            </w:pPr>
            <w:r>
              <w:t>risdiplam 750 microgram/ml powder for oral liquid, 80 ml</w:t>
            </w:r>
          </w:p>
        </w:tc>
        <w:tc>
          <w:tcPr>
            <w:tcW w:w="709" w:type="dxa"/>
          </w:tcPr>
          <w:p w14:paraId="48DB6AE4" w14:textId="7D535B84" w:rsidR="00E756C0" w:rsidRPr="00013392" w:rsidRDefault="00E756C0" w:rsidP="00D96BE4">
            <w:pPr>
              <w:pStyle w:val="Tablewriting"/>
              <w:spacing w:beforeLines="60" w:before="144" w:afterLines="60" w:after="144"/>
              <w:jc w:val="center"/>
            </w:pPr>
            <w:r>
              <w:t>3</w:t>
            </w:r>
          </w:p>
        </w:tc>
        <w:tc>
          <w:tcPr>
            <w:tcW w:w="709" w:type="dxa"/>
          </w:tcPr>
          <w:p w14:paraId="24A07B0E" w14:textId="27E87B51" w:rsidR="00E756C0" w:rsidRPr="00013392" w:rsidRDefault="00E756C0" w:rsidP="00D96BE4">
            <w:pPr>
              <w:pStyle w:val="Tablewriting"/>
              <w:spacing w:beforeLines="60" w:before="144" w:afterLines="60" w:after="144"/>
              <w:jc w:val="center"/>
            </w:pPr>
            <w:r>
              <w:t>7</w:t>
            </w:r>
          </w:p>
        </w:tc>
        <w:tc>
          <w:tcPr>
            <w:tcW w:w="1275" w:type="dxa"/>
          </w:tcPr>
          <w:p w14:paraId="3B9D93D7" w14:textId="46048168" w:rsidR="00E756C0" w:rsidRPr="00013392" w:rsidRDefault="00E756C0" w:rsidP="00D96BE4">
            <w:pPr>
              <w:pStyle w:val="Tablewriting"/>
              <w:spacing w:beforeLines="60" w:before="144" w:afterLines="60" w:after="144"/>
            </w:pPr>
            <w:r>
              <w:t>$32,525.67</w:t>
            </w:r>
          </w:p>
        </w:tc>
        <w:tc>
          <w:tcPr>
            <w:tcW w:w="1698" w:type="dxa"/>
            <w:vMerge/>
          </w:tcPr>
          <w:p w14:paraId="273D6B16" w14:textId="77777777" w:rsidR="00E756C0" w:rsidRPr="00013392" w:rsidDel="00EE2BBB" w:rsidRDefault="00E756C0" w:rsidP="00D96BE4">
            <w:pPr>
              <w:pStyle w:val="Tablewriting"/>
              <w:spacing w:beforeLines="60" w:before="144" w:afterLines="60" w:after="144"/>
            </w:pPr>
          </w:p>
        </w:tc>
      </w:tr>
      <w:tr w:rsidR="00E756C0" w:rsidRPr="00E86962" w:rsidDel="00EE2BBB" w14:paraId="69DC6AC0" w14:textId="77777777" w:rsidTr="00D96BE4">
        <w:trPr>
          <w:trHeight w:val="546"/>
          <w:tblHeader/>
        </w:trPr>
        <w:tc>
          <w:tcPr>
            <w:tcW w:w="969" w:type="dxa"/>
          </w:tcPr>
          <w:p w14:paraId="72A32120" w14:textId="1372D0FD" w:rsidR="00E756C0" w:rsidRDefault="00E756C0" w:rsidP="00D96BE4">
            <w:pPr>
              <w:pStyle w:val="Tablewriting"/>
              <w:spacing w:beforeLines="60" w:before="144" w:afterLines="60" w:after="144"/>
            </w:pPr>
            <w:r>
              <w:t>13646F</w:t>
            </w:r>
          </w:p>
        </w:tc>
        <w:tc>
          <w:tcPr>
            <w:tcW w:w="3704" w:type="dxa"/>
          </w:tcPr>
          <w:p w14:paraId="773AB75E" w14:textId="6DDF5117" w:rsidR="00E756C0" w:rsidRPr="00013392" w:rsidRDefault="00E756C0" w:rsidP="00D96BE4">
            <w:pPr>
              <w:pStyle w:val="Tablewriting"/>
              <w:spacing w:beforeLines="60" w:before="144" w:afterLines="60" w:after="144"/>
            </w:pPr>
            <w:r>
              <w:t>risdiplam 750 microgram/ml powder for oral liquid, 80 ml</w:t>
            </w:r>
          </w:p>
        </w:tc>
        <w:tc>
          <w:tcPr>
            <w:tcW w:w="709" w:type="dxa"/>
          </w:tcPr>
          <w:p w14:paraId="22997CF9" w14:textId="468485A0" w:rsidR="00E756C0" w:rsidRPr="00013392" w:rsidRDefault="00E756C0" w:rsidP="00D96BE4">
            <w:pPr>
              <w:pStyle w:val="Tablewriting"/>
              <w:spacing w:beforeLines="60" w:before="144" w:afterLines="60" w:after="144"/>
              <w:jc w:val="center"/>
            </w:pPr>
            <w:r>
              <w:t>3</w:t>
            </w:r>
          </w:p>
        </w:tc>
        <w:tc>
          <w:tcPr>
            <w:tcW w:w="709" w:type="dxa"/>
          </w:tcPr>
          <w:p w14:paraId="755C1E9E" w14:textId="65072470" w:rsidR="00E756C0" w:rsidRPr="00013392" w:rsidRDefault="00E756C0" w:rsidP="00D96BE4">
            <w:pPr>
              <w:pStyle w:val="Tablewriting"/>
              <w:spacing w:beforeLines="60" w:before="144" w:afterLines="60" w:after="144"/>
              <w:jc w:val="center"/>
            </w:pPr>
            <w:r>
              <w:t>5</w:t>
            </w:r>
          </w:p>
        </w:tc>
        <w:tc>
          <w:tcPr>
            <w:tcW w:w="1275" w:type="dxa"/>
          </w:tcPr>
          <w:p w14:paraId="6A0F7C25" w14:textId="58B0BB01" w:rsidR="00E756C0" w:rsidRPr="00013392" w:rsidRDefault="00E756C0" w:rsidP="00D96BE4">
            <w:pPr>
              <w:pStyle w:val="Tablewriting"/>
              <w:spacing w:beforeLines="60" w:before="144" w:afterLines="60" w:after="144"/>
            </w:pPr>
            <w:r>
              <w:t>$32,574.33</w:t>
            </w:r>
          </w:p>
        </w:tc>
        <w:tc>
          <w:tcPr>
            <w:tcW w:w="1698" w:type="dxa"/>
            <w:vMerge/>
          </w:tcPr>
          <w:p w14:paraId="6F1A953E" w14:textId="77777777" w:rsidR="00E756C0" w:rsidRPr="00013392" w:rsidDel="00EE2BBB" w:rsidRDefault="00E756C0" w:rsidP="00D96BE4">
            <w:pPr>
              <w:pStyle w:val="Tablewriting"/>
              <w:spacing w:beforeLines="60" w:before="144" w:afterLines="60" w:after="144"/>
            </w:pPr>
          </w:p>
        </w:tc>
      </w:tr>
      <w:tr w:rsidR="00E756C0" w:rsidRPr="00E86962" w:rsidDel="00EE2BBB" w14:paraId="1D0C8ED1" w14:textId="77777777" w:rsidTr="00D96BE4">
        <w:trPr>
          <w:trHeight w:val="546"/>
          <w:tblHeader/>
        </w:trPr>
        <w:tc>
          <w:tcPr>
            <w:tcW w:w="969" w:type="dxa"/>
          </w:tcPr>
          <w:p w14:paraId="5BA121F9" w14:textId="1377CF89" w:rsidR="00E756C0" w:rsidRDefault="00E756C0" w:rsidP="00D96BE4">
            <w:pPr>
              <w:pStyle w:val="Tablewriting"/>
              <w:spacing w:beforeLines="60" w:before="144" w:afterLines="60" w:after="144"/>
            </w:pPr>
            <w:r>
              <w:t>13656R</w:t>
            </w:r>
          </w:p>
        </w:tc>
        <w:tc>
          <w:tcPr>
            <w:tcW w:w="3704" w:type="dxa"/>
          </w:tcPr>
          <w:p w14:paraId="4FA122E0" w14:textId="158BD5E8" w:rsidR="00E756C0" w:rsidRPr="00013392" w:rsidRDefault="00E756C0" w:rsidP="00D96BE4">
            <w:pPr>
              <w:pStyle w:val="Tablewriting"/>
              <w:spacing w:beforeLines="60" w:before="144" w:afterLines="60" w:after="144"/>
            </w:pPr>
            <w:r>
              <w:t>risdiplam 750 microgram/ml powder for oral liquid, 80 ml</w:t>
            </w:r>
          </w:p>
        </w:tc>
        <w:tc>
          <w:tcPr>
            <w:tcW w:w="709" w:type="dxa"/>
          </w:tcPr>
          <w:p w14:paraId="73C3C7E9" w14:textId="3FE4DA36" w:rsidR="00E756C0" w:rsidRPr="00013392" w:rsidRDefault="00E756C0" w:rsidP="00D96BE4">
            <w:pPr>
              <w:pStyle w:val="Tablewriting"/>
              <w:spacing w:beforeLines="60" w:before="144" w:afterLines="60" w:after="144"/>
              <w:jc w:val="center"/>
            </w:pPr>
            <w:r>
              <w:t>3</w:t>
            </w:r>
          </w:p>
        </w:tc>
        <w:tc>
          <w:tcPr>
            <w:tcW w:w="709" w:type="dxa"/>
          </w:tcPr>
          <w:p w14:paraId="38D91BFF" w14:textId="499417D8" w:rsidR="00E756C0" w:rsidRPr="00013392" w:rsidRDefault="00E756C0" w:rsidP="00D96BE4">
            <w:pPr>
              <w:pStyle w:val="Tablewriting"/>
              <w:spacing w:beforeLines="60" w:before="144" w:afterLines="60" w:after="144"/>
              <w:jc w:val="center"/>
            </w:pPr>
            <w:r>
              <w:t>5</w:t>
            </w:r>
          </w:p>
        </w:tc>
        <w:tc>
          <w:tcPr>
            <w:tcW w:w="1275" w:type="dxa"/>
          </w:tcPr>
          <w:p w14:paraId="7C13E445" w14:textId="37FFC575" w:rsidR="00E756C0" w:rsidRPr="00013392" w:rsidRDefault="00E756C0" w:rsidP="00D96BE4">
            <w:pPr>
              <w:pStyle w:val="Tablewriting"/>
              <w:spacing w:beforeLines="60" w:before="144" w:afterLines="60" w:after="144"/>
            </w:pPr>
            <w:r>
              <w:t>$32,525.67</w:t>
            </w:r>
          </w:p>
        </w:tc>
        <w:tc>
          <w:tcPr>
            <w:tcW w:w="1698" w:type="dxa"/>
            <w:vMerge/>
          </w:tcPr>
          <w:p w14:paraId="222914B8" w14:textId="77777777" w:rsidR="00E756C0" w:rsidRPr="00013392" w:rsidDel="00EE2BBB" w:rsidRDefault="00E756C0" w:rsidP="00D96BE4">
            <w:pPr>
              <w:pStyle w:val="Tablewriting"/>
              <w:spacing w:beforeLines="60" w:before="144" w:afterLines="60" w:after="144"/>
            </w:pPr>
          </w:p>
        </w:tc>
      </w:tr>
    </w:tbl>
    <w:p w14:paraId="5215E813" w14:textId="40B0AA73" w:rsidR="001C1FF9" w:rsidRDefault="001C1FF9" w:rsidP="00C01D70">
      <w:pPr>
        <w:spacing w:line="276" w:lineRule="auto"/>
      </w:pPr>
    </w:p>
    <w:p w14:paraId="4DBDCDE1" w14:textId="77777777" w:rsidR="00EA1720" w:rsidRDefault="00EA1720" w:rsidP="00C01D70">
      <w:pPr>
        <w:spacing w:line="276" w:lineRule="auto"/>
      </w:pPr>
    </w:p>
    <w:p w14:paraId="03572868" w14:textId="77777777" w:rsidR="00EA1720" w:rsidRDefault="00EA1720" w:rsidP="00C01D70">
      <w:pPr>
        <w:spacing w:line="276" w:lineRule="auto"/>
      </w:pPr>
    </w:p>
    <w:p w14:paraId="79A4E610" w14:textId="77777777" w:rsidR="00EA1720" w:rsidRDefault="00EA1720" w:rsidP="00C01D70">
      <w:pPr>
        <w:spacing w:line="276" w:lineRule="auto"/>
      </w:pPr>
    </w:p>
    <w:p w14:paraId="3901E248" w14:textId="77777777" w:rsidR="004B1A52" w:rsidRPr="0033504C" w:rsidRDefault="004B1A52" w:rsidP="00C01D70">
      <w:pPr>
        <w:spacing w:line="276" w:lineRule="auto"/>
      </w:pPr>
    </w:p>
    <w:sectPr w:rsidR="004B1A52" w:rsidRPr="0033504C" w:rsidSect="00DD188C">
      <w:headerReference w:type="even" r:id="rId25"/>
      <w:headerReference w:type="default" r:id="rId26"/>
      <w:footerReference w:type="even" r:id="rId27"/>
      <w:footerReference w:type="default" r:id="rId28"/>
      <w:headerReference w:type="first" r:id="rId29"/>
      <w:footerReference w:type="first" r:id="rId30"/>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F5C92" w14:textId="77777777" w:rsidR="00D11B68" w:rsidRDefault="00D11B68" w:rsidP="00A35800">
      <w:r>
        <w:separator/>
      </w:r>
    </w:p>
  </w:endnote>
  <w:endnote w:type="continuationSeparator" w:id="0">
    <w:p w14:paraId="230E7BA0" w14:textId="77777777" w:rsidR="00D11B68" w:rsidRDefault="00D11B68"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D5E5" w14:textId="259517F4" w:rsidR="00214013" w:rsidRDefault="008E625A" w:rsidP="00A35800">
    <w:pPr>
      <w:pStyle w:val="Footer"/>
      <w:rPr>
        <w:rStyle w:val="PageNumber"/>
      </w:rPr>
    </w:pPr>
    <w:r>
      <w:rPr>
        <w:noProof/>
      </w:rPr>
      <mc:AlternateContent>
        <mc:Choice Requires="wps">
          <w:drawing>
            <wp:anchor distT="0" distB="0" distL="0" distR="0" simplePos="0" relativeHeight="251668480" behindDoc="0" locked="0" layoutInCell="1" allowOverlap="1" wp14:anchorId="63C4A4CF" wp14:editId="2A4561D3">
              <wp:simplePos x="635" y="635"/>
              <wp:positionH relativeFrom="page">
                <wp:align>center</wp:align>
              </wp:positionH>
              <wp:positionV relativeFrom="page">
                <wp:align>bottom</wp:align>
              </wp:positionV>
              <wp:extent cx="622300" cy="376555"/>
              <wp:effectExtent l="0" t="0" r="6350" b="0"/>
              <wp:wrapNone/>
              <wp:docPr id="196018959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F8111E" w14:textId="6DB59698"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C4A4CF"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EF8111E" w14:textId="6DB59698"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v:textbox>
              <w10:wrap anchorx="page" anchory="page"/>
            </v:shape>
          </w:pict>
        </mc:Fallback>
      </mc:AlternateContent>
    </w:r>
    <w:r w:rsidR="00214013">
      <w:rPr>
        <w:rStyle w:val="PageNumber"/>
      </w:rPr>
      <w:fldChar w:fldCharType="begin"/>
    </w:r>
    <w:r w:rsidR="00214013">
      <w:rPr>
        <w:rStyle w:val="PageNumber"/>
      </w:rPr>
      <w:instrText xml:space="preserve">PAGE  </w:instrText>
    </w:r>
    <w:r w:rsidR="00214013">
      <w:rPr>
        <w:rStyle w:val="PageNumber"/>
      </w:rPr>
      <w:fldChar w:fldCharType="end"/>
    </w:r>
  </w:p>
  <w:p w14:paraId="2D9F9A1E" w14:textId="77777777" w:rsidR="00214013" w:rsidRDefault="00214013"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547BF" w14:textId="5C7B10F4" w:rsidR="00E976A3" w:rsidRDefault="008E625A" w:rsidP="000E72C6">
    <w:pPr>
      <w:pStyle w:val="Footer"/>
      <w:jc w:val="center"/>
    </w:pPr>
    <w:r>
      <w:rPr>
        <w:noProof/>
      </w:rPr>
      <mc:AlternateContent>
        <mc:Choice Requires="wps">
          <w:drawing>
            <wp:anchor distT="0" distB="0" distL="0" distR="0" simplePos="0" relativeHeight="251669504" behindDoc="0" locked="0" layoutInCell="1" allowOverlap="1" wp14:anchorId="78463DD9" wp14:editId="7816C53C">
              <wp:simplePos x="635" y="635"/>
              <wp:positionH relativeFrom="page">
                <wp:align>center</wp:align>
              </wp:positionH>
              <wp:positionV relativeFrom="page">
                <wp:align>bottom</wp:align>
              </wp:positionV>
              <wp:extent cx="622300" cy="376555"/>
              <wp:effectExtent l="0" t="0" r="6350" b="0"/>
              <wp:wrapNone/>
              <wp:docPr id="58900291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94AE39B" w14:textId="190A7100"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63DD9"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94AE39B" w14:textId="190A7100"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v:textbox>
              <w10:wrap anchorx="page" anchory="page"/>
            </v:shape>
          </w:pict>
        </mc:Fallback>
      </mc:AlternateContent>
    </w:r>
  </w:p>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30682B98" w14:textId="12356AF7" w:rsidR="000E72C6" w:rsidRPr="000E72C6" w:rsidRDefault="00E3106A" w:rsidP="000E72C6">
            <w:pPr>
              <w:pStyle w:val="Footer"/>
              <w:jc w:val="center"/>
              <w:rPr>
                <w:i/>
                <w:sz w:val="20"/>
              </w:rPr>
            </w:pPr>
            <w:r>
              <w:rPr>
                <w:i/>
                <w:sz w:val="20"/>
              </w:rPr>
              <w:t>Public Release Document, June 2025 DUSC Meeting</w:t>
            </w:r>
          </w:p>
          <w:p w14:paraId="10292A9A" w14:textId="275D445E" w:rsidR="00214013" w:rsidRDefault="00DD188C"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sidR="001F0A4E">
              <w:rPr>
                <w:bCs/>
                <w:i/>
                <w:noProof/>
                <w:sz w:val="20"/>
              </w:rPr>
              <w:t>3</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sidR="001F0A4E">
              <w:rPr>
                <w:bCs/>
                <w:i/>
                <w:noProof/>
                <w:sz w:val="20"/>
              </w:rPr>
              <w:t>13</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22E1F" w14:textId="5DFDA580" w:rsidR="007A5733" w:rsidRDefault="008E625A" w:rsidP="007A5733">
    <w:pPr>
      <w:pStyle w:val="Footer"/>
      <w:jc w:val="center"/>
      <w:rPr>
        <w:rStyle w:val="PageNumber"/>
      </w:rPr>
    </w:pPr>
    <w:r>
      <w:rPr>
        <w:noProof/>
      </w:rPr>
      <mc:AlternateContent>
        <mc:Choice Requires="wps">
          <w:drawing>
            <wp:anchor distT="0" distB="0" distL="0" distR="0" simplePos="0" relativeHeight="251667456" behindDoc="0" locked="0" layoutInCell="1" allowOverlap="1" wp14:anchorId="66C2F525" wp14:editId="18F9E5AC">
              <wp:simplePos x="635" y="635"/>
              <wp:positionH relativeFrom="page">
                <wp:align>center</wp:align>
              </wp:positionH>
              <wp:positionV relativeFrom="page">
                <wp:align>bottom</wp:align>
              </wp:positionV>
              <wp:extent cx="622300" cy="376555"/>
              <wp:effectExtent l="0" t="0" r="6350" b="0"/>
              <wp:wrapNone/>
              <wp:docPr id="2894430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5F3DB9B" w14:textId="473C8361"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C2F525"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5F3DB9B" w14:textId="473C8361"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v:textbox>
              <w10:wrap anchorx="page" anchory="page"/>
            </v:shape>
          </w:pict>
        </mc:Fallback>
      </mc:AlternateContent>
    </w:r>
    <w:r w:rsidR="007A5733">
      <w:rPr>
        <w:rStyle w:val="PageNumber"/>
      </w:rPr>
      <w:t>Committee-in-Confidence</w:t>
    </w:r>
  </w:p>
  <w:p w14:paraId="3CE6880B" w14:textId="77777777" w:rsidR="00DD188C" w:rsidRDefault="00DD188C"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A8BA9" w14:textId="77777777" w:rsidR="00D11B68" w:rsidRDefault="00D11B68" w:rsidP="00A35800">
      <w:r>
        <w:separator/>
      </w:r>
    </w:p>
  </w:footnote>
  <w:footnote w:type="continuationSeparator" w:id="0">
    <w:p w14:paraId="328C3067" w14:textId="77777777" w:rsidR="00D11B68" w:rsidRDefault="00D11B68" w:rsidP="00A35800">
      <w:r>
        <w:continuationSeparator/>
      </w:r>
    </w:p>
  </w:footnote>
  <w:footnote w:id="1">
    <w:p w14:paraId="390CE146" w14:textId="1F94A157" w:rsidR="0087506D" w:rsidRDefault="0087506D">
      <w:pPr>
        <w:pStyle w:val="FootnoteText"/>
      </w:pPr>
      <w:r>
        <w:rPr>
          <w:rStyle w:val="FootnoteReference"/>
        </w:rPr>
        <w:footnoteRef/>
      </w:r>
      <w:r>
        <w:t xml:space="preserve"> </w:t>
      </w:r>
      <w:r w:rsidR="008F1F37" w:rsidRPr="008F1F37">
        <w:t>Lunn M R, Wang CH. Spinal muscular atrophy. Lancet 2008; 371: 2120-33 https://doi.org/10.1016/S0140- 6736(08)60921-6</w:t>
      </w:r>
    </w:p>
  </w:footnote>
  <w:footnote w:id="2">
    <w:p w14:paraId="2F7E3366" w14:textId="3277530D" w:rsidR="009A40D7" w:rsidRDefault="009A40D7">
      <w:pPr>
        <w:pStyle w:val="FootnoteText"/>
      </w:pPr>
      <w:r>
        <w:rPr>
          <w:rStyle w:val="FootnoteReference"/>
        </w:rPr>
        <w:footnoteRef/>
      </w:r>
      <w:r>
        <w:t xml:space="preserve"> </w:t>
      </w:r>
      <w:r w:rsidRPr="009A40D7">
        <w:t>Farrar M.A, Park S.B, Vucic S, Carey K.A, Turner BJ, Gillingwater TH et al. Emerging therapies and Challenges in Spinal Muscular Atrophy. Annals of Neurology 2017; 81:355-368 doi: 10.1002/ana.24864</w:t>
      </w:r>
    </w:p>
  </w:footnote>
  <w:footnote w:id="3">
    <w:p w14:paraId="7B16D202" w14:textId="4BFE9FBF" w:rsidR="009A40D7" w:rsidRDefault="009A40D7">
      <w:pPr>
        <w:pStyle w:val="FootnoteText"/>
      </w:pPr>
      <w:r>
        <w:rPr>
          <w:rStyle w:val="FootnoteReference"/>
        </w:rPr>
        <w:footnoteRef/>
      </w:r>
      <w:r>
        <w:t xml:space="preserve"> </w:t>
      </w:r>
      <w:r w:rsidRPr="009A40D7">
        <w:t>Farrar M.A, Kiernan M.C. The Genetics of Spinal Muscular Atrophy: Progress and Challenges. Neurotherapeutics 2015; 12: 290-302</w:t>
      </w:r>
    </w:p>
  </w:footnote>
  <w:footnote w:id="4">
    <w:p w14:paraId="16D1FD64" w14:textId="308DE4BC" w:rsidR="001C6730" w:rsidRDefault="001C6730">
      <w:pPr>
        <w:pStyle w:val="FootnoteText"/>
      </w:pPr>
      <w:r>
        <w:rPr>
          <w:rStyle w:val="FootnoteReference"/>
        </w:rPr>
        <w:footnoteRef/>
      </w:r>
      <w:r>
        <w:t xml:space="preserve"> </w:t>
      </w:r>
      <w:r w:rsidRPr="001C6730">
        <w:t>Kolb S.J, Kissel J.T. Spinal Muscular Atrophy: A Timely Review. Archives of Neurology 2011; 68(8) doi:10.1001/archneurol.2011.74.</w:t>
      </w:r>
    </w:p>
  </w:footnote>
  <w:footnote w:id="5">
    <w:p w14:paraId="60F5BF1C" w14:textId="3D27C5E1" w:rsidR="001C6730" w:rsidRDefault="001C6730">
      <w:pPr>
        <w:pStyle w:val="FootnoteText"/>
      </w:pPr>
      <w:r>
        <w:rPr>
          <w:rStyle w:val="FootnoteReference"/>
        </w:rPr>
        <w:footnoteRef/>
      </w:r>
      <w:r>
        <w:t xml:space="preserve"> </w:t>
      </w:r>
      <w:r w:rsidRPr="001C6730">
        <w:t>Feldkötter M, Schwarzer V, Wirth R, Wienker T.F, Wirth B. Quantitative Analyses of SMN1 and SMN2 Based on Real-Time LightCycler PCR: Fast and Highly Reliable Carrier Testing and Prediction of Severity of Spinal Muscular Atrophy. The American Journal of Human Genetics; 70 (2): 358-368. https://doi.org/10.1086/338627.</w:t>
      </w:r>
    </w:p>
  </w:footnote>
  <w:footnote w:id="6">
    <w:p w14:paraId="0090EEBE" w14:textId="7F28108A" w:rsidR="00450C66" w:rsidRPr="008142B4" w:rsidRDefault="00450C66" w:rsidP="00450C66">
      <w:pPr>
        <w:pStyle w:val="FootnoteText"/>
        <w:rPr>
          <w:szCs w:val="18"/>
        </w:rPr>
      </w:pPr>
      <w:r w:rsidRPr="008142B4">
        <w:rPr>
          <w:rStyle w:val="FootnoteReference"/>
          <w:szCs w:val="18"/>
        </w:rPr>
        <w:footnoteRef/>
      </w:r>
      <w:r w:rsidRPr="008142B4">
        <w:rPr>
          <w:szCs w:val="18"/>
        </w:rPr>
        <w:t xml:space="preserve"> </w:t>
      </w:r>
      <w:r w:rsidR="00355591">
        <w:rPr>
          <w:szCs w:val="18"/>
        </w:rPr>
        <w:t>Spinraza®</w:t>
      </w:r>
      <w:r>
        <w:rPr>
          <w:szCs w:val="18"/>
        </w:rPr>
        <w:t>(</w:t>
      </w:r>
      <w:r w:rsidR="00355591">
        <w:rPr>
          <w:szCs w:val="18"/>
        </w:rPr>
        <w:t>nusinersen</w:t>
      </w:r>
      <w:r>
        <w:rPr>
          <w:szCs w:val="18"/>
        </w:rPr>
        <w:t xml:space="preserve">). Australian Approved Product Information. </w:t>
      </w:r>
      <w:r w:rsidR="00355591">
        <w:rPr>
          <w:szCs w:val="18"/>
        </w:rPr>
        <w:t>Macquarie Park</w:t>
      </w:r>
      <w:r>
        <w:rPr>
          <w:szCs w:val="18"/>
        </w:rPr>
        <w:t xml:space="preserve">: </w:t>
      </w:r>
      <w:r w:rsidR="00355591">
        <w:rPr>
          <w:szCs w:val="18"/>
        </w:rPr>
        <w:t>Biogen Australia Pty Ltd</w:t>
      </w:r>
      <w:r>
        <w:rPr>
          <w:szCs w:val="18"/>
        </w:rPr>
        <w:t>. Approved</w:t>
      </w:r>
      <w:r w:rsidR="00355591">
        <w:rPr>
          <w:szCs w:val="18"/>
        </w:rPr>
        <w:t xml:space="preserve"> 3 November 2017</w:t>
      </w:r>
      <w:r>
        <w:rPr>
          <w:szCs w:val="18"/>
        </w:rPr>
        <w:t>, updated</w:t>
      </w:r>
      <w:r w:rsidR="00355591">
        <w:rPr>
          <w:szCs w:val="18"/>
        </w:rPr>
        <w:t xml:space="preserve"> 31 January 2024</w:t>
      </w:r>
      <w:r>
        <w:rPr>
          <w:szCs w:val="18"/>
        </w:rPr>
        <w:t>. Available from &lt;</w:t>
      </w:r>
      <w:r w:rsidRPr="00CD4486">
        <w:t xml:space="preserve"> </w:t>
      </w:r>
      <w:r w:rsidRPr="00CD4486">
        <w:rPr>
          <w:szCs w:val="18"/>
        </w:rPr>
        <w:t>https://www.tga.gov.au/product-information-pi</w:t>
      </w:r>
      <w:r>
        <w:rPr>
          <w:szCs w:val="18"/>
        </w:rPr>
        <w:t>.&gt;</w:t>
      </w:r>
    </w:p>
  </w:footnote>
  <w:footnote w:id="7">
    <w:p w14:paraId="0A4DD767" w14:textId="6B3A91EE" w:rsidR="00576B18" w:rsidRPr="00BC5AE2" w:rsidRDefault="00576B18" w:rsidP="00576B18">
      <w:pPr>
        <w:pStyle w:val="FootnoteText"/>
        <w:rPr>
          <w:sz w:val="20"/>
        </w:rPr>
      </w:pPr>
      <w:r w:rsidRPr="00BC5AE2">
        <w:rPr>
          <w:rStyle w:val="FootnoteReference"/>
          <w:sz w:val="20"/>
        </w:rPr>
        <w:footnoteRef/>
      </w:r>
      <w:r w:rsidRPr="00BC5AE2">
        <w:rPr>
          <w:sz w:val="20"/>
        </w:rPr>
        <w:t xml:space="preserve"> PBS statistics</w:t>
      </w:r>
      <w:r>
        <w:rPr>
          <w:sz w:val="20"/>
        </w:rPr>
        <w:t xml:space="preserve">. Australian Government </w:t>
      </w:r>
      <w:r w:rsidR="006804E0" w:rsidRPr="006804E0">
        <w:rPr>
          <w:sz w:val="20"/>
        </w:rPr>
        <w:t>Services Australia</w:t>
      </w:r>
      <w:r>
        <w:rPr>
          <w:sz w:val="20"/>
        </w:rPr>
        <w:t>. Canberra. Available from &lt;</w:t>
      </w:r>
      <w:hyperlink r:id="rId1" w:history="1">
        <w:r>
          <w:rPr>
            <w:rStyle w:val="Hyperlink"/>
            <w:sz w:val="20"/>
          </w:rPr>
          <w:t>http://www.medicareaustralia.gov.au/provider/pbs/stats.jsp</w:t>
        </w:r>
      </w:hyperlink>
      <w:r>
        <w:rPr>
          <w:sz w:val="20"/>
        </w:rPr>
        <w:t>&gt;.</w:t>
      </w:r>
    </w:p>
  </w:footnote>
  <w:footnote w:id="8">
    <w:p w14:paraId="7C81F936" w14:textId="77777777" w:rsidR="006C2987" w:rsidRPr="00CB6DFC" w:rsidRDefault="006C2987" w:rsidP="006C2987">
      <w:pPr>
        <w:pStyle w:val="FootnoteText"/>
      </w:pPr>
      <w:r w:rsidRPr="0036043C">
        <w:rPr>
          <w:rStyle w:val="FootnoteReference"/>
        </w:rPr>
        <w:footnoteRef/>
      </w:r>
      <w:r w:rsidRPr="0036043C">
        <w:t xml:space="preserve"> </w:t>
      </w:r>
      <w:r w:rsidRPr="00CB6DFC">
        <w:t>Onasemnogene abeparvovec for spinal muscular atrophy. Aust Prescr 2022;45:140-1. First published 7 July 2022.</w:t>
      </w:r>
      <w:hyperlink r:id="rId2" w:history="1">
        <w:r w:rsidRPr="00CB6DFC">
          <w:rPr>
            <w:rStyle w:val="Hyperlink"/>
          </w:rPr>
          <w:t>https://doi.org/10.18773/austprescr.2022.044</w:t>
        </w:r>
      </w:hyperlink>
    </w:p>
  </w:footnote>
  <w:footnote w:id="9">
    <w:p w14:paraId="21429776" w14:textId="77777777" w:rsidR="006C2987" w:rsidRPr="00CB6DFC" w:rsidRDefault="006C2987" w:rsidP="006C2987">
      <w:pPr>
        <w:pStyle w:val="FootnoteText"/>
      </w:pPr>
      <w:r w:rsidRPr="00CB6DFC">
        <w:rPr>
          <w:rStyle w:val="FootnoteReference"/>
        </w:rPr>
        <w:footnoteRef/>
      </w:r>
      <w:r w:rsidRPr="00CB6DFC">
        <w:t xml:space="preserve"> Risdiplam for spinal muscular atrophy. Aust Prescr 2022;45:142-3. First published 7 July 2022.</w:t>
      </w:r>
      <w:hyperlink r:id="rId3" w:history="1">
        <w:r w:rsidRPr="00CB6DFC">
          <w:rPr>
            <w:rStyle w:val="Hyperlink"/>
          </w:rPr>
          <w:t>https://doi.org/10.18773/austprescr.2022.041</w:t>
        </w:r>
      </w:hyperlink>
    </w:p>
  </w:footnote>
  <w:footnote w:id="10">
    <w:p w14:paraId="12B953AD" w14:textId="77777777" w:rsidR="006C2987" w:rsidRPr="00CB6DFC" w:rsidRDefault="006C2987" w:rsidP="006C2987">
      <w:pPr>
        <w:pStyle w:val="FootnoteText"/>
      </w:pPr>
      <w:r w:rsidRPr="00CB6DFC">
        <w:rPr>
          <w:rStyle w:val="FootnoteReference"/>
        </w:rPr>
        <w:footnoteRef/>
      </w:r>
      <w:r w:rsidRPr="00CB6DFC">
        <w:t xml:space="preserve"> Nusinersen for spinal muscular atrophy. Aust Prescr 2019;42:75-6. First published 28 February 2019.</w:t>
      </w:r>
      <w:hyperlink r:id="rId4" w:history="1">
        <w:r w:rsidRPr="00CB6DFC">
          <w:rPr>
            <w:rStyle w:val="Hyperlink"/>
          </w:rPr>
          <w:t>https://doi.org/10.18773/austprescr.2019.019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3F878" w14:textId="3AEF8236" w:rsidR="00DD188C" w:rsidRDefault="008E625A">
    <w:pPr>
      <w:pStyle w:val="Header"/>
    </w:pPr>
    <w:r>
      <w:rPr>
        <w:noProof/>
      </w:rPr>
      <mc:AlternateContent>
        <mc:Choice Requires="wps">
          <w:drawing>
            <wp:anchor distT="0" distB="0" distL="0" distR="0" simplePos="0" relativeHeight="251665408" behindDoc="0" locked="0" layoutInCell="1" allowOverlap="1" wp14:anchorId="11631967" wp14:editId="4E33863B">
              <wp:simplePos x="635" y="635"/>
              <wp:positionH relativeFrom="page">
                <wp:align>center</wp:align>
              </wp:positionH>
              <wp:positionV relativeFrom="page">
                <wp:align>top</wp:align>
              </wp:positionV>
              <wp:extent cx="622300" cy="376555"/>
              <wp:effectExtent l="0" t="0" r="6350" b="4445"/>
              <wp:wrapNone/>
              <wp:docPr id="10957054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8C85D17" w14:textId="59A7FC04"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63196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8C85D17" w14:textId="59A7FC04"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6F15D" w14:textId="1516ACCD" w:rsidR="00FB77FA" w:rsidRDefault="008E625A">
    <w:pPr>
      <w:pStyle w:val="Header"/>
    </w:pPr>
    <w:r>
      <w:rPr>
        <w:noProof/>
      </w:rPr>
      <mc:AlternateContent>
        <mc:Choice Requires="wps">
          <w:drawing>
            <wp:anchor distT="0" distB="0" distL="0" distR="0" simplePos="0" relativeHeight="251666432" behindDoc="0" locked="0" layoutInCell="1" allowOverlap="1" wp14:anchorId="21EFFE5B" wp14:editId="1C63B07A">
              <wp:simplePos x="635" y="635"/>
              <wp:positionH relativeFrom="page">
                <wp:align>center</wp:align>
              </wp:positionH>
              <wp:positionV relativeFrom="page">
                <wp:align>top</wp:align>
              </wp:positionV>
              <wp:extent cx="622300" cy="376555"/>
              <wp:effectExtent l="0" t="0" r="6350" b="4445"/>
              <wp:wrapNone/>
              <wp:docPr id="42815824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FABEFA" w14:textId="587D47F9"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FFE5B"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32FABEFA" w14:textId="587D47F9"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87C54" w14:textId="61533A5A" w:rsidR="00DD188C" w:rsidRDefault="008E625A">
    <w:pPr>
      <w:pStyle w:val="Header"/>
    </w:pPr>
    <w:r>
      <w:rPr>
        <w:noProof/>
      </w:rPr>
      <mc:AlternateContent>
        <mc:Choice Requires="wps">
          <w:drawing>
            <wp:anchor distT="0" distB="0" distL="0" distR="0" simplePos="0" relativeHeight="251664384" behindDoc="0" locked="0" layoutInCell="1" allowOverlap="1" wp14:anchorId="50F27C77" wp14:editId="3733B7EE">
              <wp:simplePos x="635" y="635"/>
              <wp:positionH relativeFrom="page">
                <wp:align>center</wp:align>
              </wp:positionH>
              <wp:positionV relativeFrom="page">
                <wp:align>top</wp:align>
              </wp:positionV>
              <wp:extent cx="622300" cy="376555"/>
              <wp:effectExtent l="0" t="0" r="6350" b="4445"/>
              <wp:wrapNone/>
              <wp:docPr id="8328749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B6CC5C" w14:textId="4ECAA436"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F27C77"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BB6CC5C" w14:textId="4ECAA436" w:rsidR="008E625A" w:rsidRPr="008E625A" w:rsidRDefault="008E625A" w:rsidP="008E625A">
                    <w:pPr>
                      <w:spacing w:after="0"/>
                      <w:rPr>
                        <w:rFonts w:ascii="Aptos" w:eastAsia="Aptos" w:hAnsi="Aptos" w:cs="Aptos"/>
                        <w:noProof/>
                        <w:color w:val="FF0000"/>
                      </w:rPr>
                    </w:pPr>
                    <w:r w:rsidRPr="008E625A">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7D28"/>
    <w:multiLevelType w:val="hybridMultilevel"/>
    <w:tmpl w:val="5CC0BDE0"/>
    <w:lvl w:ilvl="0" w:tplc="F3FA77E2">
      <w:start w:val="1"/>
      <w:numFmt w:val="bullet"/>
      <w:lvlText w:val="•"/>
      <w:lvlJc w:val="left"/>
      <w:pPr>
        <w:tabs>
          <w:tab w:val="num" w:pos="720"/>
        </w:tabs>
        <w:ind w:left="720" w:hanging="360"/>
      </w:pPr>
      <w:rPr>
        <w:rFonts w:ascii="Times New Roman" w:hAnsi="Times New Roman" w:hint="default"/>
      </w:rPr>
    </w:lvl>
    <w:lvl w:ilvl="1" w:tplc="B42A497A" w:tentative="1">
      <w:start w:val="1"/>
      <w:numFmt w:val="bullet"/>
      <w:lvlText w:val="•"/>
      <w:lvlJc w:val="left"/>
      <w:pPr>
        <w:tabs>
          <w:tab w:val="num" w:pos="1440"/>
        </w:tabs>
        <w:ind w:left="1440" w:hanging="360"/>
      </w:pPr>
      <w:rPr>
        <w:rFonts w:ascii="Times New Roman" w:hAnsi="Times New Roman" w:hint="default"/>
      </w:rPr>
    </w:lvl>
    <w:lvl w:ilvl="2" w:tplc="2F648812" w:tentative="1">
      <w:start w:val="1"/>
      <w:numFmt w:val="bullet"/>
      <w:lvlText w:val="•"/>
      <w:lvlJc w:val="left"/>
      <w:pPr>
        <w:tabs>
          <w:tab w:val="num" w:pos="2160"/>
        </w:tabs>
        <w:ind w:left="2160" w:hanging="360"/>
      </w:pPr>
      <w:rPr>
        <w:rFonts w:ascii="Times New Roman" w:hAnsi="Times New Roman" w:hint="default"/>
      </w:rPr>
    </w:lvl>
    <w:lvl w:ilvl="3" w:tplc="AD9E2860" w:tentative="1">
      <w:start w:val="1"/>
      <w:numFmt w:val="bullet"/>
      <w:lvlText w:val="•"/>
      <w:lvlJc w:val="left"/>
      <w:pPr>
        <w:tabs>
          <w:tab w:val="num" w:pos="2880"/>
        </w:tabs>
        <w:ind w:left="2880" w:hanging="360"/>
      </w:pPr>
      <w:rPr>
        <w:rFonts w:ascii="Times New Roman" w:hAnsi="Times New Roman" w:hint="default"/>
      </w:rPr>
    </w:lvl>
    <w:lvl w:ilvl="4" w:tplc="6366BF0E" w:tentative="1">
      <w:start w:val="1"/>
      <w:numFmt w:val="bullet"/>
      <w:lvlText w:val="•"/>
      <w:lvlJc w:val="left"/>
      <w:pPr>
        <w:tabs>
          <w:tab w:val="num" w:pos="3600"/>
        </w:tabs>
        <w:ind w:left="3600" w:hanging="360"/>
      </w:pPr>
      <w:rPr>
        <w:rFonts w:ascii="Times New Roman" w:hAnsi="Times New Roman" w:hint="default"/>
      </w:rPr>
    </w:lvl>
    <w:lvl w:ilvl="5" w:tplc="039012E4" w:tentative="1">
      <w:start w:val="1"/>
      <w:numFmt w:val="bullet"/>
      <w:lvlText w:val="•"/>
      <w:lvlJc w:val="left"/>
      <w:pPr>
        <w:tabs>
          <w:tab w:val="num" w:pos="4320"/>
        </w:tabs>
        <w:ind w:left="4320" w:hanging="360"/>
      </w:pPr>
      <w:rPr>
        <w:rFonts w:ascii="Times New Roman" w:hAnsi="Times New Roman" w:hint="default"/>
      </w:rPr>
    </w:lvl>
    <w:lvl w:ilvl="6" w:tplc="26F84D90" w:tentative="1">
      <w:start w:val="1"/>
      <w:numFmt w:val="bullet"/>
      <w:lvlText w:val="•"/>
      <w:lvlJc w:val="left"/>
      <w:pPr>
        <w:tabs>
          <w:tab w:val="num" w:pos="5040"/>
        </w:tabs>
        <w:ind w:left="5040" w:hanging="360"/>
      </w:pPr>
      <w:rPr>
        <w:rFonts w:ascii="Times New Roman" w:hAnsi="Times New Roman" w:hint="default"/>
      </w:rPr>
    </w:lvl>
    <w:lvl w:ilvl="7" w:tplc="FAE003B4" w:tentative="1">
      <w:start w:val="1"/>
      <w:numFmt w:val="bullet"/>
      <w:lvlText w:val="•"/>
      <w:lvlJc w:val="left"/>
      <w:pPr>
        <w:tabs>
          <w:tab w:val="num" w:pos="5760"/>
        </w:tabs>
        <w:ind w:left="5760" w:hanging="360"/>
      </w:pPr>
      <w:rPr>
        <w:rFonts w:ascii="Times New Roman" w:hAnsi="Times New Roman" w:hint="default"/>
      </w:rPr>
    </w:lvl>
    <w:lvl w:ilvl="8" w:tplc="5572815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C602B3"/>
    <w:multiLevelType w:val="hybridMultilevel"/>
    <w:tmpl w:val="6A969EEE"/>
    <w:lvl w:ilvl="0" w:tplc="5CFC9394">
      <w:start w:val="3"/>
      <w:numFmt w:val="bullet"/>
      <w:lvlText w:val="-"/>
      <w:lvlJc w:val="left"/>
      <w:pPr>
        <w:ind w:left="1440" w:hanging="360"/>
      </w:pPr>
      <w:rPr>
        <w:rFonts w:ascii="Calibri" w:eastAsiaTheme="minorEastAsia"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5C67E3"/>
    <w:multiLevelType w:val="hybridMultilevel"/>
    <w:tmpl w:val="11C88AD2"/>
    <w:lvl w:ilvl="0" w:tplc="5CFC9394">
      <w:start w:val="3"/>
      <w:numFmt w:val="bullet"/>
      <w:lvlText w:val="-"/>
      <w:lvlJc w:val="left"/>
      <w:pPr>
        <w:ind w:left="1403" w:hanging="360"/>
      </w:pPr>
      <w:rPr>
        <w:rFonts w:ascii="Calibri" w:eastAsiaTheme="minorEastAsia" w:hAnsi="Calibri" w:cs="Calibri" w:hint="default"/>
      </w:rPr>
    </w:lvl>
    <w:lvl w:ilvl="1" w:tplc="FFFFFFFF" w:tentative="1">
      <w:start w:val="1"/>
      <w:numFmt w:val="bullet"/>
      <w:lvlText w:val="o"/>
      <w:lvlJc w:val="left"/>
      <w:pPr>
        <w:ind w:left="2123" w:hanging="360"/>
      </w:pPr>
      <w:rPr>
        <w:rFonts w:ascii="Courier New" w:hAnsi="Courier New" w:cs="Courier New" w:hint="default"/>
      </w:rPr>
    </w:lvl>
    <w:lvl w:ilvl="2" w:tplc="FFFFFFFF" w:tentative="1">
      <w:start w:val="1"/>
      <w:numFmt w:val="bullet"/>
      <w:lvlText w:val=""/>
      <w:lvlJc w:val="left"/>
      <w:pPr>
        <w:ind w:left="2843" w:hanging="360"/>
      </w:pPr>
      <w:rPr>
        <w:rFonts w:ascii="Wingdings" w:hAnsi="Wingdings" w:hint="default"/>
      </w:rPr>
    </w:lvl>
    <w:lvl w:ilvl="3" w:tplc="FFFFFFFF" w:tentative="1">
      <w:start w:val="1"/>
      <w:numFmt w:val="bullet"/>
      <w:lvlText w:val=""/>
      <w:lvlJc w:val="left"/>
      <w:pPr>
        <w:ind w:left="3563" w:hanging="360"/>
      </w:pPr>
      <w:rPr>
        <w:rFonts w:ascii="Symbol" w:hAnsi="Symbol" w:hint="default"/>
      </w:rPr>
    </w:lvl>
    <w:lvl w:ilvl="4" w:tplc="FFFFFFFF" w:tentative="1">
      <w:start w:val="1"/>
      <w:numFmt w:val="bullet"/>
      <w:lvlText w:val="o"/>
      <w:lvlJc w:val="left"/>
      <w:pPr>
        <w:ind w:left="4283" w:hanging="360"/>
      </w:pPr>
      <w:rPr>
        <w:rFonts w:ascii="Courier New" w:hAnsi="Courier New" w:cs="Courier New" w:hint="default"/>
      </w:rPr>
    </w:lvl>
    <w:lvl w:ilvl="5" w:tplc="FFFFFFFF" w:tentative="1">
      <w:start w:val="1"/>
      <w:numFmt w:val="bullet"/>
      <w:lvlText w:val=""/>
      <w:lvlJc w:val="left"/>
      <w:pPr>
        <w:ind w:left="5003" w:hanging="360"/>
      </w:pPr>
      <w:rPr>
        <w:rFonts w:ascii="Wingdings" w:hAnsi="Wingdings" w:hint="default"/>
      </w:rPr>
    </w:lvl>
    <w:lvl w:ilvl="6" w:tplc="FFFFFFFF" w:tentative="1">
      <w:start w:val="1"/>
      <w:numFmt w:val="bullet"/>
      <w:lvlText w:val=""/>
      <w:lvlJc w:val="left"/>
      <w:pPr>
        <w:ind w:left="5723" w:hanging="360"/>
      </w:pPr>
      <w:rPr>
        <w:rFonts w:ascii="Symbol" w:hAnsi="Symbol" w:hint="default"/>
      </w:rPr>
    </w:lvl>
    <w:lvl w:ilvl="7" w:tplc="FFFFFFFF" w:tentative="1">
      <w:start w:val="1"/>
      <w:numFmt w:val="bullet"/>
      <w:lvlText w:val="o"/>
      <w:lvlJc w:val="left"/>
      <w:pPr>
        <w:ind w:left="6443" w:hanging="360"/>
      </w:pPr>
      <w:rPr>
        <w:rFonts w:ascii="Courier New" w:hAnsi="Courier New" w:cs="Courier New" w:hint="default"/>
      </w:rPr>
    </w:lvl>
    <w:lvl w:ilvl="8" w:tplc="FFFFFFFF" w:tentative="1">
      <w:start w:val="1"/>
      <w:numFmt w:val="bullet"/>
      <w:lvlText w:val=""/>
      <w:lvlJc w:val="left"/>
      <w:pPr>
        <w:ind w:left="7163" w:hanging="360"/>
      </w:pPr>
      <w:rPr>
        <w:rFonts w:ascii="Wingdings" w:hAnsi="Wingdings" w:hint="default"/>
      </w:rPr>
    </w:lvl>
  </w:abstractNum>
  <w:abstractNum w:abstractNumId="3" w15:restartNumberingAfterBreak="0">
    <w:nsid w:val="0725348F"/>
    <w:multiLevelType w:val="multilevel"/>
    <w:tmpl w:val="34C6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95102"/>
    <w:multiLevelType w:val="hybridMultilevel"/>
    <w:tmpl w:val="E08C0D6E"/>
    <w:lvl w:ilvl="0" w:tplc="5CFC9394">
      <w:start w:val="3"/>
      <w:numFmt w:val="bullet"/>
      <w:lvlText w:val="-"/>
      <w:lvlJc w:val="left"/>
      <w:pPr>
        <w:ind w:left="683"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466E3C"/>
    <w:multiLevelType w:val="hybridMultilevel"/>
    <w:tmpl w:val="A2F4E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167EF0"/>
    <w:multiLevelType w:val="multilevel"/>
    <w:tmpl w:val="3F16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36C41"/>
    <w:multiLevelType w:val="multilevel"/>
    <w:tmpl w:val="6BE0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AF7FEA"/>
    <w:multiLevelType w:val="multilevel"/>
    <w:tmpl w:val="0908E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E6DDE"/>
    <w:multiLevelType w:val="hybridMultilevel"/>
    <w:tmpl w:val="BF0CB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946243"/>
    <w:multiLevelType w:val="hybridMultilevel"/>
    <w:tmpl w:val="51103A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32834D6"/>
    <w:multiLevelType w:val="hybridMultilevel"/>
    <w:tmpl w:val="8CECA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094D22"/>
    <w:multiLevelType w:val="hybridMultilevel"/>
    <w:tmpl w:val="9A7617AC"/>
    <w:lvl w:ilvl="0" w:tplc="75B4195E">
      <w:start w:val="1"/>
      <w:numFmt w:val="bullet"/>
      <w:lvlText w:val="•"/>
      <w:lvlJc w:val="left"/>
      <w:pPr>
        <w:tabs>
          <w:tab w:val="num" w:pos="720"/>
        </w:tabs>
        <w:ind w:left="720" w:hanging="360"/>
      </w:pPr>
      <w:rPr>
        <w:rFonts w:ascii="Times New Roman" w:hAnsi="Times New Roman" w:hint="default"/>
      </w:rPr>
    </w:lvl>
    <w:lvl w:ilvl="1" w:tplc="9DFA1E4C" w:tentative="1">
      <w:start w:val="1"/>
      <w:numFmt w:val="bullet"/>
      <w:lvlText w:val="•"/>
      <w:lvlJc w:val="left"/>
      <w:pPr>
        <w:tabs>
          <w:tab w:val="num" w:pos="1440"/>
        </w:tabs>
        <w:ind w:left="1440" w:hanging="360"/>
      </w:pPr>
      <w:rPr>
        <w:rFonts w:ascii="Times New Roman" w:hAnsi="Times New Roman" w:hint="default"/>
      </w:rPr>
    </w:lvl>
    <w:lvl w:ilvl="2" w:tplc="D458B996" w:tentative="1">
      <w:start w:val="1"/>
      <w:numFmt w:val="bullet"/>
      <w:lvlText w:val="•"/>
      <w:lvlJc w:val="left"/>
      <w:pPr>
        <w:tabs>
          <w:tab w:val="num" w:pos="2160"/>
        </w:tabs>
        <w:ind w:left="2160" w:hanging="360"/>
      </w:pPr>
      <w:rPr>
        <w:rFonts w:ascii="Times New Roman" w:hAnsi="Times New Roman" w:hint="default"/>
      </w:rPr>
    </w:lvl>
    <w:lvl w:ilvl="3" w:tplc="28186EB8" w:tentative="1">
      <w:start w:val="1"/>
      <w:numFmt w:val="bullet"/>
      <w:lvlText w:val="•"/>
      <w:lvlJc w:val="left"/>
      <w:pPr>
        <w:tabs>
          <w:tab w:val="num" w:pos="2880"/>
        </w:tabs>
        <w:ind w:left="2880" w:hanging="360"/>
      </w:pPr>
      <w:rPr>
        <w:rFonts w:ascii="Times New Roman" w:hAnsi="Times New Roman" w:hint="default"/>
      </w:rPr>
    </w:lvl>
    <w:lvl w:ilvl="4" w:tplc="043A76C2" w:tentative="1">
      <w:start w:val="1"/>
      <w:numFmt w:val="bullet"/>
      <w:lvlText w:val="•"/>
      <w:lvlJc w:val="left"/>
      <w:pPr>
        <w:tabs>
          <w:tab w:val="num" w:pos="3600"/>
        </w:tabs>
        <w:ind w:left="3600" w:hanging="360"/>
      </w:pPr>
      <w:rPr>
        <w:rFonts w:ascii="Times New Roman" w:hAnsi="Times New Roman" w:hint="default"/>
      </w:rPr>
    </w:lvl>
    <w:lvl w:ilvl="5" w:tplc="7C2C2C64" w:tentative="1">
      <w:start w:val="1"/>
      <w:numFmt w:val="bullet"/>
      <w:lvlText w:val="•"/>
      <w:lvlJc w:val="left"/>
      <w:pPr>
        <w:tabs>
          <w:tab w:val="num" w:pos="4320"/>
        </w:tabs>
        <w:ind w:left="4320" w:hanging="360"/>
      </w:pPr>
      <w:rPr>
        <w:rFonts w:ascii="Times New Roman" w:hAnsi="Times New Roman" w:hint="default"/>
      </w:rPr>
    </w:lvl>
    <w:lvl w:ilvl="6" w:tplc="6F5EEF22" w:tentative="1">
      <w:start w:val="1"/>
      <w:numFmt w:val="bullet"/>
      <w:lvlText w:val="•"/>
      <w:lvlJc w:val="left"/>
      <w:pPr>
        <w:tabs>
          <w:tab w:val="num" w:pos="5040"/>
        </w:tabs>
        <w:ind w:left="5040" w:hanging="360"/>
      </w:pPr>
      <w:rPr>
        <w:rFonts w:ascii="Times New Roman" w:hAnsi="Times New Roman" w:hint="default"/>
      </w:rPr>
    </w:lvl>
    <w:lvl w:ilvl="7" w:tplc="7EDE9D84" w:tentative="1">
      <w:start w:val="1"/>
      <w:numFmt w:val="bullet"/>
      <w:lvlText w:val="•"/>
      <w:lvlJc w:val="left"/>
      <w:pPr>
        <w:tabs>
          <w:tab w:val="num" w:pos="5760"/>
        </w:tabs>
        <w:ind w:left="5760" w:hanging="360"/>
      </w:pPr>
      <w:rPr>
        <w:rFonts w:ascii="Times New Roman" w:hAnsi="Times New Roman" w:hint="default"/>
      </w:rPr>
    </w:lvl>
    <w:lvl w:ilvl="8" w:tplc="746A977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65468D7"/>
    <w:multiLevelType w:val="multilevel"/>
    <w:tmpl w:val="AA5E8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00290"/>
    <w:multiLevelType w:val="multilevel"/>
    <w:tmpl w:val="E078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DA5ADF"/>
    <w:multiLevelType w:val="multilevel"/>
    <w:tmpl w:val="EA42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89625A"/>
    <w:multiLevelType w:val="hybridMultilevel"/>
    <w:tmpl w:val="C3761530"/>
    <w:lvl w:ilvl="0" w:tplc="5CFC9394">
      <w:start w:val="3"/>
      <w:numFmt w:val="bullet"/>
      <w:lvlText w:val="-"/>
      <w:lvlJc w:val="left"/>
      <w:pPr>
        <w:ind w:left="1440" w:hanging="360"/>
      </w:pPr>
      <w:rPr>
        <w:rFonts w:ascii="Calibri" w:eastAsiaTheme="minorEastAsia"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E7971FB"/>
    <w:multiLevelType w:val="hybridMultilevel"/>
    <w:tmpl w:val="D03E7FD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9" w15:restartNumberingAfterBreak="0">
    <w:nsid w:val="401B0CAD"/>
    <w:multiLevelType w:val="hybridMultilevel"/>
    <w:tmpl w:val="78860B74"/>
    <w:lvl w:ilvl="0" w:tplc="5CFC9394">
      <w:start w:val="3"/>
      <w:numFmt w:val="bullet"/>
      <w:lvlText w:val="-"/>
      <w:lvlJc w:val="left"/>
      <w:pPr>
        <w:ind w:left="683" w:hanging="360"/>
      </w:pPr>
      <w:rPr>
        <w:rFonts w:ascii="Calibri" w:eastAsiaTheme="minorEastAsia" w:hAnsi="Calibri" w:cs="Calibri" w:hint="default"/>
      </w:rPr>
    </w:lvl>
    <w:lvl w:ilvl="1" w:tplc="0C090003" w:tentative="1">
      <w:start w:val="1"/>
      <w:numFmt w:val="bullet"/>
      <w:lvlText w:val="o"/>
      <w:lvlJc w:val="left"/>
      <w:pPr>
        <w:ind w:left="1403" w:hanging="360"/>
      </w:pPr>
      <w:rPr>
        <w:rFonts w:ascii="Courier New" w:hAnsi="Courier New" w:cs="Courier New" w:hint="default"/>
      </w:rPr>
    </w:lvl>
    <w:lvl w:ilvl="2" w:tplc="0C090005" w:tentative="1">
      <w:start w:val="1"/>
      <w:numFmt w:val="bullet"/>
      <w:lvlText w:val=""/>
      <w:lvlJc w:val="left"/>
      <w:pPr>
        <w:ind w:left="2123" w:hanging="360"/>
      </w:pPr>
      <w:rPr>
        <w:rFonts w:ascii="Wingdings" w:hAnsi="Wingdings" w:hint="default"/>
      </w:rPr>
    </w:lvl>
    <w:lvl w:ilvl="3" w:tplc="0C090001" w:tentative="1">
      <w:start w:val="1"/>
      <w:numFmt w:val="bullet"/>
      <w:lvlText w:val=""/>
      <w:lvlJc w:val="left"/>
      <w:pPr>
        <w:ind w:left="2843" w:hanging="360"/>
      </w:pPr>
      <w:rPr>
        <w:rFonts w:ascii="Symbol" w:hAnsi="Symbol" w:hint="default"/>
      </w:rPr>
    </w:lvl>
    <w:lvl w:ilvl="4" w:tplc="0C090003" w:tentative="1">
      <w:start w:val="1"/>
      <w:numFmt w:val="bullet"/>
      <w:lvlText w:val="o"/>
      <w:lvlJc w:val="left"/>
      <w:pPr>
        <w:ind w:left="3563" w:hanging="360"/>
      </w:pPr>
      <w:rPr>
        <w:rFonts w:ascii="Courier New" w:hAnsi="Courier New" w:cs="Courier New" w:hint="default"/>
      </w:rPr>
    </w:lvl>
    <w:lvl w:ilvl="5" w:tplc="0C090005" w:tentative="1">
      <w:start w:val="1"/>
      <w:numFmt w:val="bullet"/>
      <w:lvlText w:val=""/>
      <w:lvlJc w:val="left"/>
      <w:pPr>
        <w:ind w:left="4283" w:hanging="360"/>
      </w:pPr>
      <w:rPr>
        <w:rFonts w:ascii="Wingdings" w:hAnsi="Wingdings" w:hint="default"/>
      </w:rPr>
    </w:lvl>
    <w:lvl w:ilvl="6" w:tplc="0C090001" w:tentative="1">
      <w:start w:val="1"/>
      <w:numFmt w:val="bullet"/>
      <w:lvlText w:val=""/>
      <w:lvlJc w:val="left"/>
      <w:pPr>
        <w:ind w:left="5003" w:hanging="360"/>
      </w:pPr>
      <w:rPr>
        <w:rFonts w:ascii="Symbol" w:hAnsi="Symbol" w:hint="default"/>
      </w:rPr>
    </w:lvl>
    <w:lvl w:ilvl="7" w:tplc="0C090003" w:tentative="1">
      <w:start w:val="1"/>
      <w:numFmt w:val="bullet"/>
      <w:lvlText w:val="o"/>
      <w:lvlJc w:val="left"/>
      <w:pPr>
        <w:ind w:left="5723" w:hanging="360"/>
      </w:pPr>
      <w:rPr>
        <w:rFonts w:ascii="Courier New" w:hAnsi="Courier New" w:cs="Courier New" w:hint="default"/>
      </w:rPr>
    </w:lvl>
    <w:lvl w:ilvl="8" w:tplc="0C090005" w:tentative="1">
      <w:start w:val="1"/>
      <w:numFmt w:val="bullet"/>
      <w:lvlText w:val=""/>
      <w:lvlJc w:val="left"/>
      <w:pPr>
        <w:ind w:left="6443" w:hanging="360"/>
      </w:pPr>
      <w:rPr>
        <w:rFonts w:ascii="Wingdings" w:hAnsi="Wingdings" w:hint="default"/>
      </w:rPr>
    </w:lvl>
  </w:abstractNum>
  <w:abstractNum w:abstractNumId="20" w15:restartNumberingAfterBreak="0">
    <w:nsid w:val="41F46A0F"/>
    <w:multiLevelType w:val="hybridMultilevel"/>
    <w:tmpl w:val="1BAE6080"/>
    <w:lvl w:ilvl="0" w:tplc="701A26A6">
      <w:start w:val="1"/>
      <w:numFmt w:val="bullet"/>
      <w:lvlText w:val="•"/>
      <w:lvlJc w:val="left"/>
      <w:pPr>
        <w:tabs>
          <w:tab w:val="num" w:pos="720"/>
        </w:tabs>
        <w:ind w:left="720" w:hanging="360"/>
      </w:pPr>
      <w:rPr>
        <w:rFonts w:ascii="Times New Roman" w:hAnsi="Times New Roman" w:hint="default"/>
      </w:rPr>
    </w:lvl>
    <w:lvl w:ilvl="1" w:tplc="122C6B6A" w:tentative="1">
      <w:start w:val="1"/>
      <w:numFmt w:val="bullet"/>
      <w:lvlText w:val="•"/>
      <w:lvlJc w:val="left"/>
      <w:pPr>
        <w:tabs>
          <w:tab w:val="num" w:pos="1440"/>
        </w:tabs>
        <w:ind w:left="1440" w:hanging="360"/>
      </w:pPr>
      <w:rPr>
        <w:rFonts w:ascii="Times New Roman" w:hAnsi="Times New Roman" w:hint="default"/>
      </w:rPr>
    </w:lvl>
    <w:lvl w:ilvl="2" w:tplc="1804D5E8" w:tentative="1">
      <w:start w:val="1"/>
      <w:numFmt w:val="bullet"/>
      <w:lvlText w:val="•"/>
      <w:lvlJc w:val="left"/>
      <w:pPr>
        <w:tabs>
          <w:tab w:val="num" w:pos="2160"/>
        </w:tabs>
        <w:ind w:left="2160" w:hanging="360"/>
      </w:pPr>
      <w:rPr>
        <w:rFonts w:ascii="Times New Roman" w:hAnsi="Times New Roman" w:hint="default"/>
      </w:rPr>
    </w:lvl>
    <w:lvl w:ilvl="3" w:tplc="BEDA5042" w:tentative="1">
      <w:start w:val="1"/>
      <w:numFmt w:val="bullet"/>
      <w:lvlText w:val="•"/>
      <w:lvlJc w:val="left"/>
      <w:pPr>
        <w:tabs>
          <w:tab w:val="num" w:pos="2880"/>
        </w:tabs>
        <w:ind w:left="2880" w:hanging="360"/>
      </w:pPr>
      <w:rPr>
        <w:rFonts w:ascii="Times New Roman" w:hAnsi="Times New Roman" w:hint="default"/>
      </w:rPr>
    </w:lvl>
    <w:lvl w:ilvl="4" w:tplc="50D09796" w:tentative="1">
      <w:start w:val="1"/>
      <w:numFmt w:val="bullet"/>
      <w:lvlText w:val="•"/>
      <w:lvlJc w:val="left"/>
      <w:pPr>
        <w:tabs>
          <w:tab w:val="num" w:pos="3600"/>
        </w:tabs>
        <w:ind w:left="3600" w:hanging="360"/>
      </w:pPr>
      <w:rPr>
        <w:rFonts w:ascii="Times New Roman" w:hAnsi="Times New Roman" w:hint="default"/>
      </w:rPr>
    </w:lvl>
    <w:lvl w:ilvl="5" w:tplc="F6FCC816" w:tentative="1">
      <w:start w:val="1"/>
      <w:numFmt w:val="bullet"/>
      <w:lvlText w:val="•"/>
      <w:lvlJc w:val="left"/>
      <w:pPr>
        <w:tabs>
          <w:tab w:val="num" w:pos="4320"/>
        </w:tabs>
        <w:ind w:left="4320" w:hanging="360"/>
      </w:pPr>
      <w:rPr>
        <w:rFonts w:ascii="Times New Roman" w:hAnsi="Times New Roman" w:hint="default"/>
      </w:rPr>
    </w:lvl>
    <w:lvl w:ilvl="6" w:tplc="978E88B8" w:tentative="1">
      <w:start w:val="1"/>
      <w:numFmt w:val="bullet"/>
      <w:lvlText w:val="•"/>
      <w:lvlJc w:val="left"/>
      <w:pPr>
        <w:tabs>
          <w:tab w:val="num" w:pos="5040"/>
        </w:tabs>
        <w:ind w:left="5040" w:hanging="360"/>
      </w:pPr>
      <w:rPr>
        <w:rFonts w:ascii="Times New Roman" w:hAnsi="Times New Roman" w:hint="default"/>
      </w:rPr>
    </w:lvl>
    <w:lvl w:ilvl="7" w:tplc="863E9A02" w:tentative="1">
      <w:start w:val="1"/>
      <w:numFmt w:val="bullet"/>
      <w:lvlText w:val="•"/>
      <w:lvlJc w:val="left"/>
      <w:pPr>
        <w:tabs>
          <w:tab w:val="num" w:pos="5760"/>
        </w:tabs>
        <w:ind w:left="5760" w:hanging="360"/>
      </w:pPr>
      <w:rPr>
        <w:rFonts w:ascii="Times New Roman" w:hAnsi="Times New Roman" w:hint="default"/>
      </w:rPr>
    </w:lvl>
    <w:lvl w:ilvl="8" w:tplc="C3DE971C"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6FE41E9"/>
    <w:multiLevelType w:val="hybridMultilevel"/>
    <w:tmpl w:val="B1E630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7FA01CC"/>
    <w:multiLevelType w:val="hybridMultilevel"/>
    <w:tmpl w:val="43A4814A"/>
    <w:lvl w:ilvl="0" w:tplc="7D4AF304">
      <w:start w:val="1"/>
      <w:numFmt w:val="bullet"/>
      <w:lvlText w:val="•"/>
      <w:lvlJc w:val="left"/>
      <w:pPr>
        <w:tabs>
          <w:tab w:val="num" w:pos="720"/>
        </w:tabs>
        <w:ind w:left="720" w:hanging="360"/>
      </w:pPr>
      <w:rPr>
        <w:rFonts w:ascii="Times New Roman" w:hAnsi="Times New Roman" w:hint="default"/>
      </w:rPr>
    </w:lvl>
    <w:lvl w:ilvl="1" w:tplc="7C568CBC" w:tentative="1">
      <w:start w:val="1"/>
      <w:numFmt w:val="bullet"/>
      <w:lvlText w:val="•"/>
      <w:lvlJc w:val="left"/>
      <w:pPr>
        <w:tabs>
          <w:tab w:val="num" w:pos="1440"/>
        </w:tabs>
        <w:ind w:left="1440" w:hanging="360"/>
      </w:pPr>
      <w:rPr>
        <w:rFonts w:ascii="Times New Roman" w:hAnsi="Times New Roman" w:hint="default"/>
      </w:rPr>
    </w:lvl>
    <w:lvl w:ilvl="2" w:tplc="9648BCB0" w:tentative="1">
      <w:start w:val="1"/>
      <w:numFmt w:val="bullet"/>
      <w:lvlText w:val="•"/>
      <w:lvlJc w:val="left"/>
      <w:pPr>
        <w:tabs>
          <w:tab w:val="num" w:pos="2160"/>
        </w:tabs>
        <w:ind w:left="2160" w:hanging="360"/>
      </w:pPr>
      <w:rPr>
        <w:rFonts w:ascii="Times New Roman" w:hAnsi="Times New Roman" w:hint="default"/>
      </w:rPr>
    </w:lvl>
    <w:lvl w:ilvl="3" w:tplc="375AFBAA" w:tentative="1">
      <w:start w:val="1"/>
      <w:numFmt w:val="bullet"/>
      <w:lvlText w:val="•"/>
      <w:lvlJc w:val="left"/>
      <w:pPr>
        <w:tabs>
          <w:tab w:val="num" w:pos="2880"/>
        </w:tabs>
        <w:ind w:left="2880" w:hanging="360"/>
      </w:pPr>
      <w:rPr>
        <w:rFonts w:ascii="Times New Roman" w:hAnsi="Times New Roman" w:hint="default"/>
      </w:rPr>
    </w:lvl>
    <w:lvl w:ilvl="4" w:tplc="47C00100" w:tentative="1">
      <w:start w:val="1"/>
      <w:numFmt w:val="bullet"/>
      <w:lvlText w:val="•"/>
      <w:lvlJc w:val="left"/>
      <w:pPr>
        <w:tabs>
          <w:tab w:val="num" w:pos="3600"/>
        </w:tabs>
        <w:ind w:left="3600" w:hanging="360"/>
      </w:pPr>
      <w:rPr>
        <w:rFonts w:ascii="Times New Roman" w:hAnsi="Times New Roman" w:hint="default"/>
      </w:rPr>
    </w:lvl>
    <w:lvl w:ilvl="5" w:tplc="A3C4FE88" w:tentative="1">
      <w:start w:val="1"/>
      <w:numFmt w:val="bullet"/>
      <w:lvlText w:val="•"/>
      <w:lvlJc w:val="left"/>
      <w:pPr>
        <w:tabs>
          <w:tab w:val="num" w:pos="4320"/>
        </w:tabs>
        <w:ind w:left="4320" w:hanging="360"/>
      </w:pPr>
      <w:rPr>
        <w:rFonts w:ascii="Times New Roman" w:hAnsi="Times New Roman" w:hint="default"/>
      </w:rPr>
    </w:lvl>
    <w:lvl w:ilvl="6" w:tplc="552C1230" w:tentative="1">
      <w:start w:val="1"/>
      <w:numFmt w:val="bullet"/>
      <w:lvlText w:val="•"/>
      <w:lvlJc w:val="left"/>
      <w:pPr>
        <w:tabs>
          <w:tab w:val="num" w:pos="5040"/>
        </w:tabs>
        <w:ind w:left="5040" w:hanging="360"/>
      </w:pPr>
      <w:rPr>
        <w:rFonts w:ascii="Times New Roman" w:hAnsi="Times New Roman" w:hint="default"/>
      </w:rPr>
    </w:lvl>
    <w:lvl w:ilvl="7" w:tplc="1CC618BE" w:tentative="1">
      <w:start w:val="1"/>
      <w:numFmt w:val="bullet"/>
      <w:lvlText w:val="•"/>
      <w:lvlJc w:val="left"/>
      <w:pPr>
        <w:tabs>
          <w:tab w:val="num" w:pos="5760"/>
        </w:tabs>
        <w:ind w:left="5760" w:hanging="360"/>
      </w:pPr>
      <w:rPr>
        <w:rFonts w:ascii="Times New Roman" w:hAnsi="Times New Roman" w:hint="default"/>
      </w:rPr>
    </w:lvl>
    <w:lvl w:ilvl="8" w:tplc="BAA6ED0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AA306EF"/>
    <w:multiLevelType w:val="hybridMultilevel"/>
    <w:tmpl w:val="77DE1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C3D0A66"/>
    <w:multiLevelType w:val="multilevel"/>
    <w:tmpl w:val="50BC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334B0D"/>
    <w:multiLevelType w:val="hybridMultilevel"/>
    <w:tmpl w:val="E37A5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271802"/>
    <w:multiLevelType w:val="multilevel"/>
    <w:tmpl w:val="5FFC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BC133D"/>
    <w:multiLevelType w:val="multilevel"/>
    <w:tmpl w:val="6510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022FB"/>
    <w:multiLevelType w:val="hybridMultilevel"/>
    <w:tmpl w:val="62E43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E1A457E"/>
    <w:multiLevelType w:val="hybridMultilevel"/>
    <w:tmpl w:val="76E22EA0"/>
    <w:lvl w:ilvl="0" w:tplc="5CFC9394">
      <w:start w:val="3"/>
      <w:numFmt w:val="bullet"/>
      <w:lvlText w:val="-"/>
      <w:lvlJc w:val="left"/>
      <w:pPr>
        <w:ind w:left="1440" w:hanging="360"/>
      </w:pPr>
      <w:rPr>
        <w:rFonts w:ascii="Calibri" w:eastAsiaTheme="minorEastAsia"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60642936"/>
    <w:multiLevelType w:val="multilevel"/>
    <w:tmpl w:val="806C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3132A78"/>
    <w:multiLevelType w:val="multilevel"/>
    <w:tmpl w:val="E7A65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BA3255"/>
    <w:multiLevelType w:val="hybridMultilevel"/>
    <w:tmpl w:val="47804F4E"/>
    <w:lvl w:ilvl="0" w:tplc="B4D604A4">
      <w:start w:val="1"/>
      <w:numFmt w:val="bullet"/>
      <w:lvlText w:val="•"/>
      <w:lvlJc w:val="left"/>
      <w:pPr>
        <w:tabs>
          <w:tab w:val="num" w:pos="720"/>
        </w:tabs>
        <w:ind w:left="720" w:hanging="360"/>
      </w:pPr>
      <w:rPr>
        <w:rFonts w:ascii="Times New Roman" w:hAnsi="Times New Roman" w:hint="default"/>
      </w:rPr>
    </w:lvl>
    <w:lvl w:ilvl="1" w:tplc="5E429D74" w:tentative="1">
      <w:start w:val="1"/>
      <w:numFmt w:val="bullet"/>
      <w:lvlText w:val="•"/>
      <w:lvlJc w:val="left"/>
      <w:pPr>
        <w:tabs>
          <w:tab w:val="num" w:pos="1440"/>
        </w:tabs>
        <w:ind w:left="1440" w:hanging="360"/>
      </w:pPr>
      <w:rPr>
        <w:rFonts w:ascii="Times New Roman" w:hAnsi="Times New Roman" w:hint="default"/>
      </w:rPr>
    </w:lvl>
    <w:lvl w:ilvl="2" w:tplc="D9C4BD8C" w:tentative="1">
      <w:start w:val="1"/>
      <w:numFmt w:val="bullet"/>
      <w:lvlText w:val="•"/>
      <w:lvlJc w:val="left"/>
      <w:pPr>
        <w:tabs>
          <w:tab w:val="num" w:pos="2160"/>
        </w:tabs>
        <w:ind w:left="2160" w:hanging="360"/>
      </w:pPr>
      <w:rPr>
        <w:rFonts w:ascii="Times New Roman" w:hAnsi="Times New Roman" w:hint="default"/>
      </w:rPr>
    </w:lvl>
    <w:lvl w:ilvl="3" w:tplc="3344274A" w:tentative="1">
      <w:start w:val="1"/>
      <w:numFmt w:val="bullet"/>
      <w:lvlText w:val="•"/>
      <w:lvlJc w:val="left"/>
      <w:pPr>
        <w:tabs>
          <w:tab w:val="num" w:pos="2880"/>
        </w:tabs>
        <w:ind w:left="2880" w:hanging="360"/>
      </w:pPr>
      <w:rPr>
        <w:rFonts w:ascii="Times New Roman" w:hAnsi="Times New Roman" w:hint="default"/>
      </w:rPr>
    </w:lvl>
    <w:lvl w:ilvl="4" w:tplc="C22EF080" w:tentative="1">
      <w:start w:val="1"/>
      <w:numFmt w:val="bullet"/>
      <w:lvlText w:val="•"/>
      <w:lvlJc w:val="left"/>
      <w:pPr>
        <w:tabs>
          <w:tab w:val="num" w:pos="3600"/>
        </w:tabs>
        <w:ind w:left="3600" w:hanging="360"/>
      </w:pPr>
      <w:rPr>
        <w:rFonts w:ascii="Times New Roman" w:hAnsi="Times New Roman" w:hint="default"/>
      </w:rPr>
    </w:lvl>
    <w:lvl w:ilvl="5" w:tplc="E30E34CE" w:tentative="1">
      <w:start w:val="1"/>
      <w:numFmt w:val="bullet"/>
      <w:lvlText w:val="•"/>
      <w:lvlJc w:val="left"/>
      <w:pPr>
        <w:tabs>
          <w:tab w:val="num" w:pos="4320"/>
        </w:tabs>
        <w:ind w:left="4320" w:hanging="360"/>
      </w:pPr>
      <w:rPr>
        <w:rFonts w:ascii="Times New Roman" w:hAnsi="Times New Roman" w:hint="default"/>
      </w:rPr>
    </w:lvl>
    <w:lvl w:ilvl="6" w:tplc="2D160700" w:tentative="1">
      <w:start w:val="1"/>
      <w:numFmt w:val="bullet"/>
      <w:lvlText w:val="•"/>
      <w:lvlJc w:val="left"/>
      <w:pPr>
        <w:tabs>
          <w:tab w:val="num" w:pos="5040"/>
        </w:tabs>
        <w:ind w:left="5040" w:hanging="360"/>
      </w:pPr>
      <w:rPr>
        <w:rFonts w:ascii="Times New Roman" w:hAnsi="Times New Roman" w:hint="default"/>
      </w:rPr>
    </w:lvl>
    <w:lvl w:ilvl="7" w:tplc="EF9E0AB6" w:tentative="1">
      <w:start w:val="1"/>
      <w:numFmt w:val="bullet"/>
      <w:lvlText w:val="•"/>
      <w:lvlJc w:val="left"/>
      <w:pPr>
        <w:tabs>
          <w:tab w:val="num" w:pos="5760"/>
        </w:tabs>
        <w:ind w:left="5760" w:hanging="360"/>
      </w:pPr>
      <w:rPr>
        <w:rFonts w:ascii="Times New Roman" w:hAnsi="Times New Roman" w:hint="default"/>
      </w:rPr>
    </w:lvl>
    <w:lvl w:ilvl="8" w:tplc="62ACDF0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8B821B6"/>
    <w:multiLevelType w:val="multilevel"/>
    <w:tmpl w:val="D3C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22918"/>
    <w:multiLevelType w:val="multilevel"/>
    <w:tmpl w:val="73F2A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BD6F0E"/>
    <w:multiLevelType w:val="multilevel"/>
    <w:tmpl w:val="57BC2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A77AAC"/>
    <w:multiLevelType w:val="hybridMultilevel"/>
    <w:tmpl w:val="17D46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DD7227D"/>
    <w:multiLevelType w:val="multilevel"/>
    <w:tmpl w:val="AD6A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742257"/>
    <w:multiLevelType w:val="hybridMultilevel"/>
    <w:tmpl w:val="5A980EBA"/>
    <w:lvl w:ilvl="0" w:tplc="452E7D10">
      <w:start w:val="1"/>
      <w:numFmt w:val="bullet"/>
      <w:lvlText w:val="•"/>
      <w:lvlJc w:val="left"/>
      <w:pPr>
        <w:tabs>
          <w:tab w:val="num" w:pos="720"/>
        </w:tabs>
        <w:ind w:left="720" w:hanging="360"/>
      </w:pPr>
      <w:rPr>
        <w:rFonts w:ascii="Times New Roman" w:hAnsi="Times New Roman" w:hint="default"/>
      </w:rPr>
    </w:lvl>
    <w:lvl w:ilvl="1" w:tplc="711C97FE" w:tentative="1">
      <w:start w:val="1"/>
      <w:numFmt w:val="bullet"/>
      <w:lvlText w:val="•"/>
      <w:lvlJc w:val="left"/>
      <w:pPr>
        <w:tabs>
          <w:tab w:val="num" w:pos="1440"/>
        </w:tabs>
        <w:ind w:left="1440" w:hanging="360"/>
      </w:pPr>
      <w:rPr>
        <w:rFonts w:ascii="Times New Roman" w:hAnsi="Times New Roman" w:hint="default"/>
      </w:rPr>
    </w:lvl>
    <w:lvl w:ilvl="2" w:tplc="83003DC2" w:tentative="1">
      <w:start w:val="1"/>
      <w:numFmt w:val="bullet"/>
      <w:lvlText w:val="•"/>
      <w:lvlJc w:val="left"/>
      <w:pPr>
        <w:tabs>
          <w:tab w:val="num" w:pos="2160"/>
        </w:tabs>
        <w:ind w:left="2160" w:hanging="360"/>
      </w:pPr>
      <w:rPr>
        <w:rFonts w:ascii="Times New Roman" w:hAnsi="Times New Roman" w:hint="default"/>
      </w:rPr>
    </w:lvl>
    <w:lvl w:ilvl="3" w:tplc="9B161A18" w:tentative="1">
      <w:start w:val="1"/>
      <w:numFmt w:val="bullet"/>
      <w:lvlText w:val="•"/>
      <w:lvlJc w:val="left"/>
      <w:pPr>
        <w:tabs>
          <w:tab w:val="num" w:pos="2880"/>
        </w:tabs>
        <w:ind w:left="2880" w:hanging="360"/>
      </w:pPr>
      <w:rPr>
        <w:rFonts w:ascii="Times New Roman" w:hAnsi="Times New Roman" w:hint="default"/>
      </w:rPr>
    </w:lvl>
    <w:lvl w:ilvl="4" w:tplc="8E1C4EBE" w:tentative="1">
      <w:start w:val="1"/>
      <w:numFmt w:val="bullet"/>
      <w:lvlText w:val="•"/>
      <w:lvlJc w:val="left"/>
      <w:pPr>
        <w:tabs>
          <w:tab w:val="num" w:pos="3600"/>
        </w:tabs>
        <w:ind w:left="3600" w:hanging="360"/>
      </w:pPr>
      <w:rPr>
        <w:rFonts w:ascii="Times New Roman" w:hAnsi="Times New Roman" w:hint="default"/>
      </w:rPr>
    </w:lvl>
    <w:lvl w:ilvl="5" w:tplc="2DDCB2BA" w:tentative="1">
      <w:start w:val="1"/>
      <w:numFmt w:val="bullet"/>
      <w:lvlText w:val="•"/>
      <w:lvlJc w:val="left"/>
      <w:pPr>
        <w:tabs>
          <w:tab w:val="num" w:pos="4320"/>
        </w:tabs>
        <w:ind w:left="4320" w:hanging="360"/>
      </w:pPr>
      <w:rPr>
        <w:rFonts w:ascii="Times New Roman" w:hAnsi="Times New Roman" w:hint="default"/>
      </w:rPr>
    </w:lvl>
    <w:lvl w:ilvl="6" w:tplc="0F76A2C6" w:tentative="1">
      <w:start w:val="1"/>
      <w:numFmt w:val="bullet"/>
      <w:lvlText w:val="•"/>
      <w:lvlJc w:val="left"/>
      <w:pPr>
        <w:tabs>
          <w:tab w:val="num" w:pos="5040"/>
        </w:tabs>
        <w:ind w:left="5040" w:hanging="360"/>
      </w:pPr>
      <w:rPr>
        <w:rFonts w:ascii="Times New Roman" w:hAnsi="Times New Roman" w:hint="default"/>
      </w:rPr>
    </w:lvl>
    <w:lvl w:ilvl="7" w:tplc="FC74B4BA" w:tentative="1">
      <w:start w:val="1"/>
      <w:numFmt w:val="bullet"/>
      <w:lvlText w:val="•"/>
      <w:lvlJc w:val="left"/>
      <w:pPr>
        <w:tabs>
          <w:tab w:val="num" w:pos="5760"/>
        </w:tabs>
        <w:ind w:left="5760" w:hanging="360"/>
      </w:pPr>
      <w:rPr>
        <w:rFonts w:ascii="Times New Roman" w:hAnsi="Times New Roman" w:hint="default"/>
      </w:rPr>
    </w:lvl>
    <w:lvl w:ilvl="8" w:tplc="CA9E9A9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2880EB7"/>
    <w:multiLevelType w:val="hybridMultilevel"/>
    <w:tmpl w:val="5CEC5D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7764509"/>
    <w:multiLevelType w:val="hybridMultilevel"/>
    <w:tmpl w:val="54AA7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A903C16"/>
    <w:multiLevelType w:val="hybridMultilevel"/>
    <w:tmpl w:val="971219D6"/>
    <w:lvl w:ilvl="0" w:tplc="5CFC9394">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B485824"/>
    <w:multiLevelType w:val="hybridMultilevel"/>
    <w:tmpl w:val="46383D60"/>
    <w:lvl w:ilvl="0" w:tplc="D8A8303C">
      <w:start w:val="1"/>
      <w:numFmt w:val="bullet"/>
      <w:lvlText w:val="•"/>
      <w:lvlJc w:val="left"/>
      <w:pPr>
        <w:tabs>
          <w:tab w:val="num" w:pos="720"/>
        </w:tabs>
        <w:ind w:left="720" w:hanging="360"/>
      </w:pPr>
      <w:rPr>
        <w:rFonts w:ascii="Times New Roman" w:hAnsi="Times New Roman" w:hint="default"/>
      </w:rPr>
    </w:lvl>
    <w:lvl w:ilvl="1" w:tplc="E7B6C2EA" w:tentative="1">
      <w:start w:val="1"/>
      <w:numFmt w:val="bullet"/>
      <w:lvlText w:val="•"/>
      <w:lvlJc w:val="left"/>
      <w:pPr>
        <w:tabs>
          <w:tab w:val="num" w:pos="1440"/>
        </w:tabs>
        <w:ind w:left="1440" w:hanging="360"/>
      </w:pPr>
      <w:rPr>
        <w:rFonts w:ascii="Times New Roman" w:hAnsi="Times New Roman" w:hint="default"/>
      </w:rPr>
    </w:lvl>
    <w:lvl w:ilvl="2" w:tplc="2D56891C" w:tentative="1">
      <w:start w:val="1"/>
      <w:numFmt w:val="bullet"/>
      <w:lvlText w:val="•"/>
      <w:lvlJc w:val="left"/>
      <w:pPr>
        <w:tabs>
          <w:tab w:val="num" w:pos="2160"/>
        </w:tabs>
        <w:ind w:left="2160" w:hanging="360"/>
      </w:pPr>
      <w:rPr>
        <w:rFonts w:ascii="Times New Roman" w:hAnsi="Times New Roman" w:hint="default"/>
      </w:rPr>
    </w:lvl>
    <w:lvl w:ilvl="3" w:tplc="715C6530" w:tentative="1">
      <w:start w:val="1"/>
      <w:numFmt w:val="bullet"/>
      <w:lvlText w:val="•"/>
      <w:lvlJc w:val="left"/>
      <w:pPr>
        <w:tabs>
          <w:tab w:val="num" w:pos="2880"/>
        </w:tabs>
        <w:ind w:left="2880" w:hanging="360"/>
      </w:pPr>
      <w:rPr>
        <w:rFonts w:ascii="Times New Roman" w:hAnsi="Times New Roman" w:hint="default"/>
      </w:rPr>
    </w:lvl>
    <w:lvl w:ilvl="4" w:tplc="7DBAE95A" w:tentative="1">
      <w:start w:val="1"/>
      <w:numFmt w:val="bullet"/>
      <w:lvlText w:val="•"/>
      <w:lvlJc w:val="left"/>
      <w:pPr>
        <w:tabs>
          <w:tab w:val="num" w:pos="3600"/>
        </w:tabs>
        <w:ind w:left="3600" w:hanging="360"/>
      </w:pPr>
      <w:rPr>
        <w:rFonts w:ascii="Times New Roman" w:hAnsi="Times New Roman" w:hint="default"/>
      </w:rPr>
    </w:lvl>
    <w:lvl w:ilvl="5" w:tplc="D432294C" w:tentative="1">
      <w:start w:val="1"/>
      <w:numFmt w:val="bullet"/>
      <w:lvlText w:val="•"/>
      <w:lvlJc w:val="left"/>
      <w:pPr>
        <w:tabs>
          <w:tab w:val="num" w:pos="4320"/>
        </w:tabs>
        <w:ind w:left="4320" w:hanging="360"/>
      </w:pPr>
      <w:rPr>
        <w:rFonts w:ascii="Times New Roman" w:hAnsi="Times New Roman" w:hint="default"/>
      </w:rPr>
    </w:lvl>
    <w:lvl w:ilvl="6" w:tplc="957E911A" w:tentative="1">
      <w:start w:val="1"/>
      <w:numFmt w:val="bullet"/>
      <w:lvlText w:val="•"/>
      <w:lvlJc w:val="left"/>
      <w:pPr>
        <w:tabs>
          <w:tab w:val="num" w:pos="5040"/>
        </w:tabs>
        <w:ind w:left="5040" w:hanging="360"/>
      </w:pPr>
      <w:rPr>
        <w:rFonts w:ascii="Times New Roman" w:hAnsi="Times New Roman" w:hint="default"/>
      </w:rPr>
    </w:lvl>
    <w:lvl w:ilvl="7" w:tplc="1552582C" w:tentative="1">
      <w:start w:val="1"/>
      <w:numFmt w:val="bullet"/>
      <w:lvlText w:val="•"/>
      <w:lvlJc w:val="left"/>
      <w:pPr>
        <w:tabs>
          <w:tab w:val="num" w:pos="5760"/>
        </w:tabs>
        <w:ind w:left="5760" w:hanging="360"/>
      </w:pPr>
      <w:rPr>
        <w:rFonts w:ascii="Times New Roman" w:hAnsi="Times New Roman" w:hint="default"/>
      </w:rPr>
    </w:lvl>
    <w:lvl w:ilvl="8" w:tplc="1D688EDA" w:tentative="1">
      <w:start w:val="1"/>
      <w:numFmt w:val="bullet"/>
      <w:lvlText w:val="•"/>
      <w:lvlJc w:val="left"/>
      <w:pPr>
        <w:tabs>
          <w:tab w:val="num" w:pos="6480"/>
        </w:tabs>
        <w:ind w:left="6480" w:hanging="360"/>
      </w:pPr>
      <w:rPr>
        <w:rFonts w:ascii="Times New Roman" w:hAnsi="Times New Roman" w:hint="default"/>
      </w:rPr>
    </w:lvl>
  </w:abstractNum>
  <w:abstractNum w:abstractNumId="44" w15:restartNumberingAfterBreak="0">
    <w:nsid w:val="7EA5433D"/>
    <w:multiLevelType w:val="hybridMultilevel"/>
    <w:tmpl w:val="8A44E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F436ED4"/>
    <w:multiLevelType w:val="multilevel"/>
    <w:tmpl w:val="13D8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5918918">
    <w:abstractNumId w:val="40"/>
  </w:num>
  <w:num w:numId="2" w16cid:durableId="1894611161">
    <w:abstractNumId w:val="31"/>
  </w:num>
  <w:num w:numId="3" w16cid:durableId="1049260048">
    <w:abstractNumId w:val="8"/>
  </w:num>
  <w:num w:numId="4" w16cid:durableId="153304698">
    <w:abstractNumId w:val="5"/>
  </w:num>
  <w:num w:numId="5" w16cid:durableId="1953779041">
    <w:abstractNumId w:val="6"/>
  </w:num>
  <w:num w:numId="6" w16cid:durableId="97137877">
    <w:abstractNumId w:val="27"/>
  </w:num>
  <w:num w:numId="7" w16cid:durableId="137382478">
    <w:abstractNumId w:val="3"/>
  </w:num>
  <w:num w:numId="8" w16cid:durableId="479078334">
    <w:abstractNumId w:val="26"/>
  </w:num>
  <w:num w:numId="9" w16cid:durableId="1444039346">
    <w:abstractNumId w:val="34"/>
  </w:num>
  <w:num w:numId="10" w16cid:durableId="1766461652">
    <w:abstractNumId w:val="24"/>
  </w:num>
  <w:num w:numId="11" w16cid:durableId="2068262129">
    <w:abstractNumId w:val="16"/>
  </w:num>
  <w:num w:numId="12" w16cid:durableId="1230843267">
    <w:abstractNumId w:val="9"/>
  </w:num>
  <w:num w:numId="13" w16cid:durableId="1819687548">
    <w:abstractNumId w:val="15"/>
  </w:num>
  <w:num w:numId="14" w16cid:durableId="1208495726">
    <w:abstractNumId w:val="36"/>
  </w:num>
  <w:num w:numId="15" w16cid:durableId="34937795">
    <w:abstractNumId w:val="32"/>
  </w:num>
  <w:num w:numId="16" w16cid:durableId="592978136">
    <w:abstractNumId w:val="14"/>
  </w:num>
  <w:num w:numId="17" w16cid:durableId="175652685">
    <w:abstractNumId w:val="22"/>
  </w:num>
  <w:num w:numId="18" w16cid:durableId="980617579">
    <w:abstractNumId w:val="0"/>
  </w:num>
  <w:num w:numId="19" w16cid:durableId="1473137899">
    <w:abstractNumId w:val="43"/>
  </w:num>
  <w:num w:numId="20" w16cid:durableId="1750422149">
    <w:abstractNumId w:val="33"/>
  </w:num>
  <w:num w:numId="21" w16cid:durableId="68620272">
    <w:abstractNumId w:val="39"/>
  </w:num>
  <w:num w:numId="22" w16cid:durableId="242640518">
    <w:abstractNumId w:val="13"/>
  </w:num>
  <w:num w:numId="23" w16cid:durableId="1309475968">
    <w:abstractNumId w:val="20"/>
  </w:num>
  <w:num w:numId="24" w16cid:durableId="1239557834">
    <w:abstractNumId w:val="28"/>
  </w:num>
  <w:num w:numId="25" w16cid:durableId="128085943">
    <w:abstractNumId w:val="45"/>
  </w:num>
  <w:num w:numId="26" w16cid:durableId="1997413326">
    <w:abstractNumId w:val="7"/>
  </w:num>
  <w:num w:numId="27" w16cid:durableId="418017994">
    <w:abstractNumId w:val="30"/>
  </w:num>
  <w:num w:numId="28" w16cid:durableId="1831632323">
    <w:abstractNumId w:val="38"/>
  </w:num>
  <w:num w:numId="29" w16cid:durableId="1122849015">
    <w:abstractNumId w:val="35"/>
  </w:num>
  <w:num w:numId="30" w16cid:durableId="68164664">
    <w:abstractNumId w:val="25"/>
  </w:num>
  <w:num w:numId="31" w16cid:durableId="232128819">
    <w:abstractNumId w:val="19"/>
  </w:num>
  <w:num w:numId="32" w16cid:durableId="1555581252">
    <w:abstractNumId w:val="37"/>
  </w:num>
  <w:num w:numId="33" w16cid:durableId="2100056699">
    <w:abstractNumId w:val="4"/>
  </w:num>
  <w:num w:numId="34" w16cid:durableId="1832285705">
    <w:abstractNumId w:val="41"/>
  </w:num>
  <w:num w:numId="35" w16cid:durableId="889927097">
    <w:abstractNumId w:val="21"/>
  </w:num>
  <w:num w:numId="36" w16cid:durableId="1577086897">
    <w:abstractNumId w:val="12"/>
  </w:num>
  <w:num w:numId="37" w16cid:durableId="1160584467">
    <w:abstractNumId w:val="2"/>
  </w:num>
  <w:num w:numId="38" w16cid:durableId="1329018101">
    <w:abstractNumId w:val="29"/>
  </w:num>
  <w:num w:numId="39" w16cid:durableId="815492664">
    <w:abstractNumId w:val="10"/>
  </w:num>
  <w:num w:numId="40" w16cid:durableId="1044909658">
    <w:abstractNumId w:val="17"/>
  </w:num>
  <w:num w:numId="41" w16cid:durableId="1641956592">
    <w:abstractNumId w:val="42"/>
  </w:num>
  <w:num w:numId="42" w16cid:durableId="1537888245">
    <w:abstractNumId w:val="11"/>
  </w:num>
  <w:num w:numId="43" w16cid:durableId="1383673435">
    <w:abstractNumId w:val="1"/>
  </w:num>
  <w:num w:numId="44" w16cid:durableId="429548366">
    <w:abstractNumId w:val="44"/>
  </w:num>
  <w:num w:numId="45" w16cid:durableId="1938782938">
    <w:abstractNumId w:val="18"/>
  </w:num>
  <w:num w:numId="46" w16cid:durableId="32428957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041"/>
    <w:rsid w:val="000062D0"/>
    <w:rsid w:val="00007E85"/>
    <w:rsid w:val="00011418"/>
    <w:rsid w:val="00013465"/>
    <w:rsid w:val="000145B1"/>
    <w:rsid w:val="0001622C"/>
    <w:rsid w:val="00016532"/>
    <w:rsid w:val="000226B3"/>
    <w:rsid w:val="00024549"/>
    <w:rsid w:val="000249AC"/>
    <w:rsid w:val="00024D25"/>
    <w:rsid w:val="00025E9F"/>
    <w:rsid w:val="00026892"/>
    <w:rsid w:val="0003277E"/>
    <w:rsid w:val="00033430"/>
    <w:rsid w:val="00036882"/>
    <w:rsid w:val="0004524B"/>
    <w:rsid w:val="0004597B"/>
    <w:rsid w:val="00051913"/>
    <w:rsid w:val="00053B94"/>
    <w:rsid w:val="000544B6"/>
    <w:rsid w:val="00057192"/>
    <w:rsid w:val="0005765F"/>
    <w:rsid w:val="0006020E"/>
    <w:rsid w:val="00060308"/>
    <w:rsid w:val="000604AF"/>
    <w:rsid w:val="00065804"/>
    <w:rsid w:val="00070967"/>
    <w:rsid w:val="000734A8"/>
    <w:rsid w:val="0007420B"/>
    <w:rsid w:val="00075B43"/>
    <w:rsid w:val="00077539"/>
    <w:rsid w:val="0008019D"/>
    <w:rsid w:val="00082130"/>
    <w:rsid w:val="00082372"/>
    <w:rsid w:val="00083071"/>
    <w:rsid w:val="0008607C"/>
    <w:rsid w:val="000863EA"/>
    <w:rsid w:val="00086C11"/>
    <w:rsid w:val="00087614"/>
    <w:rsid w:val="00092A43"/>
    <w:rsid w:val="00094DCF"/>
    <w:rsid w:val="00096184"/>
    <w:rsid w:val="00097555"/>
    <w:rsid w:val="000A3A37"/>
    <w:rsid w:val="000A4FC9"/>
    <w:rsid w:val="000A6CFD"/>
    <w:rsid w:val="000B0982"/>
    <w:rsid w:val="000B771A"/>
    <w:rsid w:val="000B796C"/>
    <w:rsid w:val="000C0180"/>
    <w:rsid w:val="000C07EB"/>
    <w:rsid w:val="000C0D37"/>
    <w:rsid w:val="000C46BB"/>
    <w:rsid w:val="000C4D9D"/>
    <w:rsid w:val="000C641B"/>
    <w:rsid w:val="000C7C4B"/>
    <w:rsid w:val="000C7D8B"/>
    <w:rsid w:val="000D217B"/>
    <w:rsid w:val="000D268F"/>
    <w:rsid w:val="000D39B9"/>
    <w:rsid w:val="000D59C8"/>
    <w:rsid w:val="000E485D"/>
    <w:rsid w:val="000E520A"/>
    <w:rsid w:val="000E65D1"/>
    <w:rsid w:val="000E72C6"/>
    <w:rsid w:val="000F0231"/>
    <w:rsid w:val="000F1893"/>
    <w:rsid w:val="000F2F51"/>
    <w:rsid w:val="00103DA0"/>
    <w:rsid w:val="00105403"/>
    <w:rsid w:val="00105536"/>
    <w:rsid w:val="00107E06"/>
    <w:rsid w:val="0011379C"/>
    <w:rsid w:val="00113CF8"/>
    <w:rsid w:val="00113D74"/>
    <w:rsid w:val="001148A3"/>
    <w:rsid w:val="00116055"/>
    <w:rsid w:val="00117C5C"/>
    <w:rsid w:val="00117FA3"/>
    <w:rsid w:val="0012041C"/>
    <w:rsid w:val="001310AE"/>
    <w:rsid w:val="00131DC7"/>
    <w:rsid w:val="00137879"/>
    <w:rsid w:val="001420B3"/>
    <w:rsid w:val="00144AC0"/>
    <w:rsid w:val="001460C4"/>
    <w:rsid w:val="0015691C"/>
    <w:rsid w:val="001621F7"/>
    <w:rsid w:val="00162477"/>
    <w:rsid w:val="001624D7"/>
    <w:rsid w:val="00162BE3"/>
    <w:rsid w:val="001675DB"/>
    <w:rsid w:val="00171B59"/>
    <w:rsid w:val="00174704"/>
    <w:rsid w:val="00177B86"/>
    <w:rsid w:val="00182585"/>
    <w:rsid w:val="0018359A"/>
    <w:rsid w:val="00186488"/>
    <w:rsid w:val="00190FBC"/>
    <w:rsid w:val="00191182"/>
    <w:rsid w:val="0019612F"/>
    <w:rsid w:val="0019664D"/>
    <w:rsid w:val="001A6103"/>
    <w:rsid w:val="001A6220"/>
    <w:rsid w:val="001A7814"/>
    <w:rsid w:val="001B215A"/>
    <w:rsid w:val="001B5D37"/>
    <w:rsid w:val="001C1FF9"/>
    <w:rsid w:val="001C2940"/>
    <w:rsid w:val="001C4016"/>
    <w:rsid w:val="001C548D"/>
    <w:rsid w:val="001C5EF0"/>
    <w:rsid w:val="001C6730"/>
    <w:rsid w:val="001C6A5D"/>
    <w:rsid w:val="001C6F95"/>
    <w:rsid w:val="001D0794"/>
    <w:rsid w:val="001D2226"/>
    <w:rsid w:val="001D2408"/>
    <w:rsid w:val="001D6182"/>
    <w:rsid w:val="001E31A6"/>
    <w:rsid w:val="001E42C7"/>
    <w:rsid w:val="001E4CAB"/>
    <w:rsid w:val="001E5EDB"/>
    <w:rsid w:val="001F0A4E"/>
    <w:rsid w:val="001F1B8C"/>
    <w:rsid w:val="001F2035"/>
    <w:rsid w:val="001F2512"/>
    <w:rsid w:val="001F2F3E"/>
    <w:rsid w:val="001F4906"/>
    <w:rsid w:val="001F4C3D"/>
    <w:rsid w:val="001F7C4A"/>
    <w:rsid w:val="00202275"/>
    <w:rsid w:val="002038A4"/>
    <w:rsid w:val="0020578A"/>
    <w:rsid w:val="002072FD"/>
    <w:rsid w:val="00207631"/>
    <w:rsid w:val="00214013"/>
    <w:rsid w:val="00220FC1"/>
    <w:rsid w:val="002215E8"/>
    <w:rsid w:val="00221E2B"/>
    <w:rsid w:val="00222E9A"/>
    <w:rsid w:val="0022386A"/>
    <w:rsid w:val="002238CF"/>
    <w:rsid w:val="00224396"/>
    <w:rsid w:val="00224517"/>
    <w:rsid w:val="0023179D"/>
    <w:rsid w:val="00233EEF"/>
    <w:rsid w:val="00235B03"/>
    <w:rsid w:val="00236D01"/>
    <w:rsid w:val="002403FD"/>
    <w:rsid w:val="00251125"/>
    <w:rsid w:val="0025389D"/>
    <w:rsid w:val="00254E02"/>
    <w:rsid w:val="00260CD1"/>
    <w:rsid w:val="00261C7B"/>
    <w:rsid w:val="00261D3E"/>
    <w:rsid w:val="0026265F"/>
    <w:rsid w:val="0026690E"/>
    <w:rsid w:val="00266992"/>
    <w:rsid w:val="00272227"/>
    <w:rsid w:val="002731B0"/>
    <w:rsid w:val="00276954"/>
    <w:rsid w:val="002773EB"/>
    <w:rsid w:val="002776F1"/>
    <w:rsid w:val="00281809"/>
    <w:rsid w:val="00281D5F"/>
    <w:rsid w:val="00282F8C"/>
    <w:rsid w:val="00286C3A"/>
    <w:rsid w:val="00290800"/>
    <w:rsid w:val="00291729"/>
    <w:rsid w:val="002930F5"/>
    <w:rsid w:val="00297E7A"/>
    <w:rsid w:val="002A06B7"/>
    <w:rsid w:val="002A2F81"/>
    <w:rsid w:val="002A44C9"/>
    <w:rsid w:val="002A5FB4"/>
    <w:rsid w:val="002B54EF"/>
    <w:rsid w:val="002C135C"/>
    <w:rsid w:val="002C1750"/>
    <w:rsid w:val="002C1E3F"/>
    <w:rsid w:val="002C3065"/>
    <w:rsid w:val="002C69B5"/>
    <w:rsid w:val="002C6E0C"/>
    <w:rsid w:val="002D144A"/>
    <w:rsid w:val="002D26DB"/>
    <w:rsid w:val="002D2738"/>
    <w:rsid w:val="002D2F08"/>
    <w:rsid w:val="002D3279"/>
    <w:rsid w:val="002D37B4"/>
    <w:rsid w:val="002D3E5B"/>
    <w:rsid w:val="002E19A3"/>
    <w:rsid w:val="002E212B"/>
    <w:rsid w:val="002E3337"/>
    <w:rsid w:val="002E657F"/>
    <w:rsid w:val="002E6708"/>
    <w:rsid w:val="002E6D03"/>
    <w:rsid w:val="002F4079"/>
    <w:rsid w:val="002F49A8"/>
    <w:rsid w:val="002F5E66"/>
    <w:rsid w:val="002F61CA"/>
    <w:rsid w:val="0030010D"/>
    <w:rsid w:val="00303DC1"/>
    <w:rsid w:val="003041FA"/>
    <w:rsid w:val="00304BB7"/>
    <w:rsid w:val="003050B2"/>
    <w:rsid w:val="003063DB"/>
    <w:rsid w:val="00307F64"/>
    <w:rsid w:val="0031598E"/>
    <w:rsid w:val="00315D29"/>
    <w:rsid w:val="0031760D"/>
    <w:rsid w:val="003204B1"/>
    <w:rsid w:val="003224C2"/>
    <w:rsid w:val="00324E00"/>
    <w:rsid w:val="003262F0"/>
    <w:rsid w:val="003271B5"/>
    <w:rsid w:val="003326AF"/>
    <w:rsid w:val="00334430"/>
    <w:rsid w:val="0033504C"/>
    <w:rsid w:val="003353FE"/>
    <w:rsid w:val="00336816"/>
    <w:rsid w:val="003370D0"/>
    <w:rsid w:val="00337355"/>
    <w:rsid w:val="00337E87"/>
    <w:rsid w:val="003402E4"/>
    <w:rsid w:val="00340F95"/>
    <w:rsid w:val="00343145"/>
    <w:rsid w:val="00351CC6"/>
    <w:rsid w:val="003531ED"/>
    <w:rsid w:val="00355591"/>
    <w:rsid w:val="00360B9A"/>
    <w:rsid w:val="003621AB"/>
    <w:rsid w:val="003634AD"/>
    <w:rsid w:val="0036566C"/>
    <w:rsid w:val="00366D6C"/>
    <w:rsid w:val="0036734C"/>
    <w:rsid w:val="0037155B"/>
    <w:rsid w:val="00371AFB"/>
    <w:rsid w:val="00372B94"/>
    <w:rsid w:val="003750BB"/>
    <w:rsid w:val="00375B74"/>
    <w:rsid w:val="00376B81"/>
    <w:rsid w:val="003805F7"/>
    <w:rsid w:val="00383330"/>
    <w:rsid w:val="003838EA"/>
    <w:rsid w:val="00384606"/>
    <w:rsid w:val="00386FEE"/>
    <w:rsid w:val="0039017F"/>
    <w:rsid w:val="0039087B"/>
    <w:rsid w:val="00392EC7"/>
    <w:rsid w:val="00394AEE"/>
    <w:rsid w:val="003A142A"/>
    <w:rsid w:val="003A4234"/>
    <w:rsid w:val="003A6A1E"/>
    <w:rsid w:val="003A7D27"/>
    <w:rsid w:val="003B1625"/>
    <w:rsid w:val="003B17BC"/>
    <w:rsid w:val="003B37E3"/>
    <w:rsid w:val="003B6FF6"/>
    <w:rsid w:val="003C022E"/>
    <w:rsid w:val="003C24DC"/>
    <w:rsid w:val="003C2D98"/>
    <w:rsid w:val="003C4A32"/>
    <w:rsid w:val="003C4CD2"/>
    <w:rsid w:val="003D3A96"/>
    <w:rsid w:val="003D3B9C"/>
    <w:rsid w:val="003D6959"/>
    <w:rsid w:val="003D799E"/>
    <w:rsid w:val="003E5561"/>
    <w:rsid w:val="003F1EEB"/>
    <w:rsid w:val="003F25C0"/>
    <w:rsid w:val="003F5161"/>
    <w:rsid w:val="003F765A"/>
    <w:rsid w:val="0040188F"/>
    <w:rsid w:val="00404F03"/>
    <w:rsid w:val="00406181"/>
    <w:rsid w:val="00412051"/>
    <w:rsid w:val="00412B3D"/>
    <w:rsid w:val="00415B15"/>
    <w:rsid w:val="00423B94"/>
    <w:rsid w:val="00431880"/>
    <w:rsid w:val="0043315F"/>
    <w:rsid w:val="004350FB"/>
    <w:rsid w:val="00437E85"/>
    <w:rsid w:val="00444600"/>
    <w:rsid w:val="00450C66"/>
    <w:rsid w:val="0046045F"/>
    <w:rsid w:val="00463731"/>
    <w:rsid w:val="00463D95"/>
    <w:rsid w:val="0046400A"/>
    <w:rsid w:val="00465A97"/>
    <w:rsid w:val="00467B25"/>
    <w:rsid w:val="00481108"/>
    <w:rsid w:val="00481C0E"/>
    <w:rsid w:val="0048327B"/>
    <w:rsid w:val="00483C23"/>
    <w:rsid w:val="00486D8C"/>
    <w:rsid w:val="0049042B"/>
    <w:rsid w:val="00490A99"/>
    <w:rsid w:val="00491F23"/>
    <w:rsid w:val="00494882"/>
    <w:rsid w:val="00494FE7"/>
    <w:rsid w:val="00495473"/>
    <w:rsid w:val="00496685"/>
    <w:rsid w:val="004A1FC3"/>
    <w:rsid w:val="004A215D"/>
    <w:rsid w:val="004A458E"/>
    <w:rsid w:val="004A4965"/>
    <w:rsid w:val="004B1A52"/>
    <w:rsid w:val="004B23E7"/>
    <w:rsid w:val="004B306F"/>
    <w:rsid w:val="004B3444"/>
    <w:rsid w:val="004B5EAF"/>
    <w:rsid w:val="004B64AC"/>
    <w:rsid w:val="004C14A2"/>
    <w:rsid w:val="004C3186"/>
    <w:rsid w:val="004C39F2"/>
    <w:rsid w:val="004C5042"/>
    <w:rsid w:val="004D2059"/>
    <w:rsid w:val="004D2509"/>
    <w:rsid w:val="004D2C10"/>
    <w:rsid w:val="004D3E30"/>
    <w:rsid w:val="004D55E0"/>
    <w:rsid w:val="004E02F4"/>
    <w:rsid w:val="004E4422"/>
    <w:rsid w:val="004F27BF"/>
    <w:rsid w:val="004F512D"/>
    <w:rsid w:val="00502D1B"/>
    <w:rsid w:val="00503998"/>
    <w:rsid w:val="0050623B"/>
    <w:rsid w:val="0051074C"/>
    <w:rsid w:val="00511350"/>
    <w:rsid w:val="00513428"/>
    <w:rsid w:val="00515394"/>
    <w:rsid w:val="00523181"/>
    <w:rsid w:val="00523843"/>
    <w:rsid w:val="00524B2A"/>
    <w:rsid w:val="00524D13"/>
    <w:rsid w:val="005326AB"/>
    <w:rsid w:val="005339F6"/>
    <w:rsid w:val="005343DB"/>
    <w:rsid w:val="00550464"/>
    <w:rsid w:val="00554E24"/>
    <w:rsid w:val="00555834"/>
    <w:rsid w:val="00555856"/>
    <w:rsid w:val="0056044B"/>
    <w:rsid w:val="00563B57"/>
    <w:rsid w:val="00565C5F"/>
    <w:rsid w:val="0056705E"/>
    <w:rsid w:val="0057298A"/>
    <w:rsid w:val="00574539"/>
    <w:rsid w:val="0057524C"/>
    <w:rsid w:val="00576B18"/>
    <w:rsid w:val="0058097E"/>
    <w:rsid w:val="00580A40"/>
    <w:rsid w:val="00581C93"/>
    <w:rsid w:val="005834F8"/>
    <w:rsid w:val="0058498F"/>
    <w:rsid w:val="005863EF"/>
    <w:rsid w:val="00587724"/>
    <w:rsid w:val="00587EE4"/>
    <w:rsid w:val="0059148F"/>
    <w:rsid w:val="00591512"/>
    <w:rsid w:val="00591983"/>
    <w:rsid w:val="00591AB0"/>
    <w:rsid w:val="0059471E"/>
    <w:rsid w:val="005A64E8"/>
    <w:rsid w:val="005A7616"/>
    <w:rsid w:val="005B2D91"/>
    <w:rsid w:val="005B3F57"/>
    <w:rsid w:val="005B48B4"/>
    <w:rsid w:val="005C1EDF"/>
    <w:rsid w:val="005C2338"/>
    <w:rsid w:val="005C3E25"/>
    <w:rsid w:val="005C6661"/>
    <w:rsid w:val="005C6E3B"/>
    <w:rsid w:val="005C7409"/>
    <w:rsid w:val="005D474B"/>
    <w:rsid w:val="005D4B06"/>
    <w:rsid w:val="005D58C1"/>
    <w:rsid w:val="005E085C"/>
    <w:rsid w:val="005E147D"/>
    <w:rsid w:val="005E22C2"/>
    <w:rsid w:val="005E4353"/>
    <w:rsid w:val="005E57BB"/>
    <w:rsid w:val="005F0017"/>
    <w:rsid w:val="005F0112"/>
    <w:rsid w:val="005F33EB"/>
    <w:rsid w:val="005F36F5"/>
    <w:rsid w:val="005F4519"/>
    <w:rsid w:val="006014F1"/>
    <w:rsid w:val="0060168F"/>
    <w:rsid w:val="0060395F"/>
    <w:rsid w:val="00604798"/>
    <w:rsid w:val="0061357B"/>
    <w:rsid w:val="006145DF"/>
    <w:rsid w:val="00614A7D"/>
    <w:rsid w:val="006253FF"/>
    <w:rsid w:val="006279C3"/>
    <w:rsid w:val="0063505E"/>
    <w:rsid w:val="006351F9"/>
    <w:rsid w:val="0063631C"/>
    <w:rsid w:val="006369F0"/>
    <w:rsid w:val="0063757B"/>
    <w:rsid w:val="006377CE"/>
    <w:rsid w:val="006537D9"/>
    <w:rsid w:val="0065418A"/>
    <w:rsid w:val="00661125"/>
    <w:rsid w:val="006647CB"/>
    <w:rsid w:val="00664A48"/>
    <w:rsid w:val="00665DEF"/>
    <w:rsid w:val="00670A51"/>
    <w:rsid w:val="006714CF"/>
    <w:rsid w:val="00675BB1"/>
    <w:rsid w:val="006775F1"/>
    <w:rsid w:val="00677E49"/>
    <w:rsid w:val="006804E0"/>
    <w:rsid w:val="00680E4A"/>
    <w:rsid w:val="00682F30"/>
    <w:rsid w:val="00683E46"/>
    <w:rsid w:val="00692557"/>
    <w:rsid w:val="00692AA7"/>
    <w:rsid w:val="00695D2E"/>
    <w:rsid w:val="00697FEC"/>
    <w:rsid w:val="006A175F"/>
    <w:rsid w:val="006A370B"/>
    <w:rsid w:val="006A44F5"/>
    <w:rsid w:val="006A7BC6"/>
    <w:rsid w:val="006B0CE8"/>
    <w:rsid w:val="006B125B"/>
    <w:rsid w:val="006B2FFA"/>
    <w:rsid w:val="006B4537"/>
    <w:rsid w:val="006B554F"/>
    <w:rsid w:val="006B5F85"/>
    <w:rsid w:val="006B626D"/>
    <w:rsid w:val="006B6929"/>
    <w:rsid w:val="006B709B"/>
    <w:rsid w:val="006C06D4"/>
    <w:rsid w:val="006C2987"/>
    <w:rsid w:val="006C4402"/>
    <w:rsid w:val="006C54AF"/>
    <w:rsid w:val="006D7B74"/>
    <w:rsid w:val="006E0181"/>
    <w:rsid w:val="006E0F39"/>
    <w:rsid w:val="006E1C8C"/>
    <w:rsid w:val="006E21B0"/>
    <w:rsid w:val="006E2BD2"/>
    <w:rsid w:val="006E4336"/>
    <w:rsid w:val="006F4BDD"/>
    <w:rsid w:val="006F541C"/>
    <w:rsid w:val="006F5A70"/>
    <w:rsid w:val="00700C0E"/>
    <w:rsid w:val="00705449"/>
    <w:rsid w:val="00705DAD"/>
    <w:rsid w:val="00713797"/>
    <w:rsid w:val="00720252"/>
    <w:rsid w:val="007247B9"/>
    <w:rsid w:val="0072590C"/>
    <w:rsid w:val="0072615C"/>
    <w:rsid w:val="00727D85"/>
    <w:rsid w:val="00730150"/>
    <w:rsid w:val="00732053"/>
    <w:rsid w:val="007320A9"/>
    <w:rsid w:val="007332B5"/>
    <w:rsid w:val="007346C7"/>
    <w:rsid w:val="007352C8"/>
    <w:rsid w:val="00736041"/>
    <w:rsid w:val="007408C7"/>
    <w:rsid w:val="007418C0"/>
    <w:rsid w:val="00742E9A"/>
    <w:rsid w:val="007455BF"/>
    <w:rsid w:val="007465DA"/>
    <w:rsid w:val="007478D9"/>
    <w:rsid w:val="00752C7F"/>
    <w:rsid w:val="00766F8E"/>
    <w:rsid w:val="00771827"/>
    <w:rsid w:val="00774DE9"/>
    <w:rsid w:val="00776598"/>
    <w:rsid w:val="00776637"/>
    <w:rsid w:val="00776DEF"/>
    <w:rsid w:val="007777B1"/>
    <w:rsid w:val="0078342C"/>
    <w:rsid w:val="0078401A"/>
    <w:rsid w:val="007869EC"/>
    <w:rsid w:val="0079016B"/>
    <w:rsid w:val="00790EE3"/>
    <w:rsid w:val="00792948"/>
    <w:rsid w:val="00793B95"/>
    <w:rsid w:val="00796E84"/>
    <w:rsid w:val="00797843"/>
    <w:rsid w:val="007A0F66"/>
    <w:rsid w:val="007A1F7C"/>
    <w:rsid w:val="007A3ADE"/>
    <w:rsid w:val="007A478C"/>
    <w:rsid w:val="007A5733"/>
    <w:rsid w:val="007A5774"/>
    <w:rsid w:val="007A6E21"/>
    <w:rsid w:val="007B0F8A"/>
    <w:rsid w:val="007B6453"/>
    <w:rsid w:val="007C2FAC"/>
    <w:rsid w:val="007C353B"/>
    <w:rsid w:val="007C37D1"/>
    <w:rsid w:val="007D6316"/>
    <w:rsid w:val="007E1C5D"/>
    <w:rsid w:val="007E2FDD"/>
    <w:rsid w:val="007F114C"/>
    <w:rsid w:val="007F1D27"/>
    <w:rsid w:val="007F2596"/>
    <w:rsid w:val="007F2F24"/>
    <w:rsid w:val="007F5E0E"/>
    <w:rsid w:val="007F73FD"/>
    <w:rsid w:val="008019B7"/>
    <w:rsid w:val="00801BCA"/>
    <w:rsid w:val="00801E74"/>
    <w:rsid w:val="008031DD"/>
    <w:rsid w:val="008032E2"/>
    <w:rsid w:val="0080485E"/>
    <w:rsid w:val="00804BA3"/>
    <w:rsid w:val="00807F64"/>
    <w:rsid w:val="00810358"/>
    <w:rsid w:val="008142B4"/>
    <w:rsid w:val="00817209"/>
    <w:rsid w:val="00825E9D"/>
    <w:rsid w:val="00827070"/>
    <w:rsid w:val="00832324"/>
    <w:rsid w:val="008340FE"/>
    <w:rsid w:val="008343F0"/>
    <w:rsid w:val="00835337"/>
    <w:rsid w:val="00837036"/>
    <w:rsid w:val="00846201"/>
    <w:rsid w:val="00846DCD"/>
    <w:rsid w:val="00851D85"/>
    <w:rsid w:val="008543F4"/>
    <w:rsid w:val="00855B4E"/>
    <w:rsid w:val="0086054B"/>
    <w:rsid w:val="00860CCB"/>
    <w:rsid w:val="00862774"/>
    <w:rsid w:val="00863549"/>
    <w:rsid w:val="008647C2"/>
    <w:rsid w:val="0086638B"/>
    <w:rsid w:val="00871356"/>
    <w:rsid w:val="008740A3"/>
    <w:rsid w:val="0087506D"/>
    <w:rsid w:val="00877A0E"/>
    <w:rsid w:val="00880D56"/>
    <w:rsid w:val="008922A7"/>
    <w:rsid w:val="0089297B"/>
    <w:rsid w:val="008969BB"/>
    <w:rsid w:val="00897118"/>
    <w:rsid w:val="008A5734"/>
    <w:rsid w:val="008A575B"/>
    <w:rsid w:val="008A5DBA"/>
    <w:rsid w:val="008B0E68"/>
    <w:rsid w:val="008B152E"/>
    <w:rsid w:val="008B23B6"/>
    <w:rsid w:val="008B5B5E"/>
    <w:rsid w:val="008C1F11"/>
    <w:rsid w:val="008C36CA"/>
    <w:rsid w:val="008C3D0C"/>
    <w:rsid w:val="008C4E60"/>
    <w:rsid w:val="008C5643"/>
    <w:rsid w:val="008C7D88"/>
    <w:rsid w:val="008D52D6"/>
    <w:rsid w:val="008D6214"/>
    <w:rsid w:val="008D7582"/>
    <w:rsid w:val="008D7EE6"/>
    <w:rsid w:val="008E0A08"/>
    <w:rsid w:val="008E3E70"/>
    <w:rsid w:val="008E3F8C"/>
    <w:rsid w:val="008E625A"/>
    <w:rsid w:val="008F1C64"/>
    <w:rsid w:val="008F1F37"/>
    <w:rsid w:val="008F2D86"/>
    <w:rsid w:val="00902FD0"/>
    <w:rsid w:val="009043FE"/>
    <w:rsid w:val="009053D3"/>
    <w:rsid w:val="00905617"/>
    <w:rsid w:val="0090691F"/>
    <w:rsid w:val="00906E60"/>
    <w:rsid w:val="009100D2"/>
    <w:rsid w:val="00911E78"/>
    <w:rsid w:val="00912278"/>
    <w:rsid w:val="00921245"/>
    <w:rsid w:val="00923186"/>
    <w:rsid w:val="00925C73"/>
    <w:rsid w:val="00925CF5"/>
    <w:rsid w:val="00926BEC"/>
    <w:rsid w:val="0093111F"/>
    <w:rsid w:val="009323FC"/>
    <w:rsid w:val="009329D5"/>
    <w:rsid w:val="0093386B"/>
    <w:rsid w:val="00935689"/>
    <w:rsid w:val="00940EC8"/>
    <w:rsid w:val="00941664"/>
    <w:rsid w:val="00942031"/>
    <w:rsid w:val="0094293F"/>
    <w:rsid w:val="00945C23"/>
    <w:rsid w:val="009471FB"/>
    <w:rsid w:val="0095303B"/>
    <w:rsid w:val="009538CF"/>
    <w:rsid w:val="009646A0"/>
    <w:rsid w:val="009649CB"/>
    <w:rsid w:val="009663B6"/>
    <w:rsid w:val="009714B2"/>
    <w:rsid w:val="00971834"/>
    <w:rsid w:val="00974A47"/>
    <w:rsid w:val="00977AC7"/>
    <w:rsid w:val="00980286"/>
    <w:rsid w:val="00986B13"/>
    <w:rsid w:val="00990DCF"/>
    <w:rsid w:val="009929BE"/>
    <w:rsid w:val="009951E1"/>
    <w:rsid w:val="00997FC2"/>
    <w:rsid w:val="009A0CA9"/>
    <w:rsid w:val="009A1CFE"/>
    <w:rsid w:val="009A3322"/>
    <w:rsid w:val="009A40D7"/>
    <w:rsid w:val="009A4CD6"/>
    <w:rsid w:val="009A4EC9"/>
    <w:rsid w:val="009A537C"/>
    <w:rsid w:val="009A5777"/>
    <w:rsid w:val="009A6113"/>
    <w:rsid w:val="009A6858"/>
    <w:rsid w:val="009B08E3"/>
    <w:rsid w:val="009B104F"/>
    <w:rsid w:val="009B76C7"/>
    <w:rsid w:val="009C0886"/>
    <w:rsid w:val="009C19EE"/>
    <w:rsid w:val="009C28D0"/>
    <w:rsid w:val="009C35F2"/>
    <w:rsid w:val="009C5562"/>
    <w:rsid w:val="009C7782"/>
    <w:rsid w:val="009D1ED5"/>
    <w:rsid w:val="009D23D1"/>
    <w:rsid w:val="009D3EBE"/>
    <w:rsid w:val="009D4C13"/>
    <w:rsid w:val="009E21A7"/>
    <w:rsid w:val="009F3C30"/>
    <w:rsid w:val="009F5B95"/>
    <w:rsid w:val="009F5D13"/>
    <w:rsid w:val="00A05FA4"/>
    <w:rsid w:val="00A103ED"/>
    <w:rsid w:val="00A10DAA"/>
    <w:rsid w:val="00A13C60"/>
    <w:rsid w:val="00A13EAB"/>
    <w:rsid w:val="00A15134"/>
    <w:rsid w:val="00A24C45"/>
    <w:rsid w:val="00A25303"/>
    <w:rsid w:val="00A27E8C"/>
    <w:rsid w:val="00A3080E"/>
    <w:rsid w:val="00A32436"/>
    <w:rsid w:val="00A33002"/>
    <w:rsid w:val="00A341A3"/>
    <w:rsid w:val="00A34FB5"/>
    <w:rsid w:val="00A35800"/>
    <w:rsid w:val="00A36071"/>
    <w:rsid w:val="00A45A14"/>
    <w:rsid w:val="00A47311"/>
    <w:rsid w:val="00A52918"/>
    <w:rsid w:val="00A54229"/>
    <w:rsid w:val="00A547B3"/>
    <w:rsid w:val="00A55B95"/>
    <w:rsid w:val="00A56EFC"/>
    <w:rsid w:val="00A64B2D"/>
    <w:rsid w:val="00A70E82"/>
    <w:rsid w:val="00A7313F"/>
    <w:rsid w:val="00A811F7"/>
    <w:rsid w:val="00A8248B"/>
    <w:rsid w:val="00A83402"/>
    <w:rsid w:val="00A83550"/>
    <w:rsid w:val="00A84CAD"/>
    <w:rsid w:val="00A8601D"/>
    <w:rsid w:val="00A90E50"/>
    <w:rsid w:val="00A93895"/>
    <w:rsid w:val="00A95FA5"/>
    <w:rsid w:val="00A96D92"/>
    <w:rsid w:val="00AA0FE7"/>
    <w:rsid w:val="00AB199C"/>
    <w:rsid w:val="00AB3733"/>
    <w:rsid w:val="00AB588C"/>
    <w:rsid w:val="00AB7897"/>
    <w:rsid w:val="00AC0C48"/>
    <w:rsid w:val="00AC5054"/>
    <w:rsid w:val="00AC6EDA"/>
    <w:rsid w:val="00AD552C"/>
    <w:rsid w:val="00AE34E8"/>
    <w:rsid w:val="00AE3CCE"/>
    <w:rsid w:val="00AE4BAC"/>
    <w:rsid w:val="00AE5467"/>
    <w:rsid w:val="00AE621C"/>
    <w:rsid w:val="00AE66D5"/>
    <w:rsid w:val="00AE7AF7"/>
    <w:rsid w:val="00AF298F"/>
    <w:rsid w:val="00B034FC"/>
    <w:rsid w:val="00B05310"/>
    <w:rsid w:val="00B10A0B"/>
    <w:rsid w:val="00B10F64"/>
    <w:rsid w:val="00B15B92"/>
    <w:rsid w:val="00B15BE2"/>
    <w:rsid w:val="00B22453"/>
    <w:rsid w:val="00B22B29"/>
    <w:rsid w:val="00B26398"/>
    <w:rsid w:val="00B30D85"/>
    <w:rsid w:val="00B3275C"/>
    <w:rsid w:val="00B35A4A"/>
    <w:rsid w:val="00B40478"/>
    <w:rsid w:val="00B42AB6"/>
    <w:rsid w:val="00B42AD8"/>
    <w:rsid w:val="00B433ED"/>
    <w:rsid w:val="00B448C1"/>
    <w:rsid w:val="00B453CF"/>
    <w:rsid w:val="00B5119A"/>
    <w:rsid w:val="00B5292F"/>
    <w:rsid w:val="00B63C8C"/>
    <w:rsid w:val="00B63FD7"/>
    <w:rsid w:val="00B65860"/>
    <w:rsid w:val="00B7592E"/>
    <w:rsid w:val="00B80646"/>
    <w:rsid w:val="00B812F7"/>
    <w:rsid w:val="00B816D9"/>
    <w:rsid w:val="00B9120F"/>
    <w:rsid w:val="00B9216C"/>
    <w:rsid w:val="00B924A4"/>
    <w:rsid w:val="00B95D24"/>
    <w:rsid w:val="00B96AB7"/>
    <w:rsid w:val="00BA27D3"/>
    <w:rsid w:val="00BB09FF"/>
    <w:rsid w:val="00BB0D1A"/>
    <w:rsid w:val="00BB1D3B"/>
    <w:rsid w:val="00BB5299"/>
    <w:rsid w:val="00BB7ABC"/>
    <w:rsid w:val="00BC2422"/>
    <w:rsid w:val="00BC35ED"/>
    <w:rsid w:val="00BC4EDB"/>
    <w:rsid w:val="00BC7A8A"/>
    <w:rsid w:val="00BD4CFE"/>
    <w:rsid w:val="00BE1DA6"/>
    <w:rsid w:val="00BE205A"/>
    <w:rsid w:val="00BE286F"/>
    <w:rsid w:val="00BE3802"/>
    <w:rsid w:val="00BE3951"/>
    <w:rsid w:val="00BE640F"/>
    <w:rsid w:val="00BE7971"/>
    <w:rsid w:val="00BE7B3A"/>
    <w:rsid w:val="00BF238E"/>
    <w:rsid w:val="00BF2F4A"/>
    <w:rsid w:val="00BF544D"/>
    <w:rsid w:val="00C00045"/>
    <w:rsid w:val="00C00688"/>
    <w:rsid w:val="00C0076F"/>
    <w:rsid w:val="00C01748"/>
    <w:rsid w:val="00C01D70"/>
    <w:rsid w:val="00C027D7"/>
    <w:rsid w:val="00C0301C"/>
    <w:rsid w:val="00C030B0"/>
    <w:rsid w:val="00C050B6"/>
    <w:rsid w:val="00C10F12"/>
    <w:rsid w:val="00C11C0E"/>
    <w:rsid w:val="00C15107"/>
    <w:rsid w:val="00C2358B"/>
    <w:rsid w:val="00C245EA"/>
    <w:rsid w:val="00C256F6"/>
    <w:rsid w:val="00C25A29"/>
    <w:rsid w:val="00C263A5"/>
    <w:rsid w:val="00C27D04"/>
    <w:rsid w:val="00C3097E"/>
    <w:rsid w:val="00C35ECC"/>
    <w:rsid w:val="00C361A8"/>
    <w:rsid w:val="00C41246"/>
    <w:rsid w:val="00C4302D"/>
    <w:rsid w:val="00C442E4"/>
    <w:rsid w:val="00C45E5F"/>
    <w:rsid w:val="00C46291"/>
    <w:rsid w:val="00C46D1F"/>
    <w:rsid w:val="00C471FA"/>
    <w:rsid w:val="00C47FAD"/>
    <w:rsid w:val="00C52FB0"/>
    <w:rsid w:val="00C63412"/>
    <w:rsid w:val="00C70017"/>
    <w:rsid w:val="00C70F20"/>
    <w:rsid w:val="00C710D7"/>
    <w:rsid w:val="00C714D0"/>
    <w:rsid w:val="00C74816"/>
    <w:rsid w:val="00C80BFA"/>
    <w:rsid w:val="00C84E5A"/>
    <w:rsid w:val="00C904CE"/>
    <w:rsid w:val="00C90EF4"/>
    <w:rsid w:val="00C92889"/>
    <w:rsid w:val="00CA015A"/>
    <w:rsid w:val="00CA4CD0"/>
    <w:rsid w:val="00CA521E"/>
    <w:rsid w:val="00CA60EC"/>
    <w:rsid w:val="00CB0866"/>
    <w:rsid w:val="00CB12E8"/>
    <w:rsid w:val="00CB55EB"/>
    <w:rsid w:val="00CC0FDF"/>
    <w:rsid w:val="00CC13F6"/>
    <w:rsid w:val="00CC1AA3"/>
    <w:rsid w:val="00CC26AE"/>
    <w:rsid w:val="00CC2DB3"/>
    <w:rsid w:val="00CC2DF0"/>
    <w:rsid w:val="00CC400F"/>
    <w:rsid w:val="00CC535E"/>
    <w:rsid w:val="00CC6D9E"/>
    <w:rsid w:val="00CD0880"/>
    <w:rsid w:val="00CD4486"/>
    <w:rsid w:val="00CE20B6"/>
    <w:rsid w:val="00CE228D"/>
    <w:rsid w:val="00CE32B3"/>
    <w:rsid w:val="00CE3334"/>
    <w:rsid w:val="00CE3E04"/>
    <w:rsid w:val="00CE5129"/>
    <w:rsid w:val="00CE5991"/>
    <w:rsid w:val="00CE763C"/>
    <w:rsid w:val="00CF0761"/>
    <w:rsid w:val="00CF51DE"/>
    <w:rsid w:val="00CF5DA1"/>
    <w:rsid w:val="00CF5E22"/>
    <w:rsid w:val="00D05C91"/>
    <w:rsid w:val="00D06A44"/>
    <w:rsid w:val="00D11B68"/>
    <w:rsid w:val="00D14FB6"/>
    <w:rsid w:val="00D151EB"/>
    <w:rsid w:val="00D17B2F"/>
    <w:rsid w:val="00D20D5F"/>
    <w:rsid w:val="00D24C66"/>
    <w:rsid w:val="00D300E0"/>
    <w:rsid w:val="00D32CB0"/>
    <w:rsid w:val="00D345B8"/>
    <w:rsid w:val="00D374CD"/>
    <w:rsid w:val="00D4065A"/>
    <w:rsid w:val="00D440EC"/>
    <w:rsid w:val="00D51485"/>
    <w:rsid w:val="00D57FEF"/>
    <w:rsid w:val="00D60E58"/>
    <w:rsid w:val="00D61ECA"/>
    <w:rsid w:val="00D650CE"/>
    <w:rsid w:val="00D71719"/>
    <w:rsid w:val="00D74565"/>
    <w:rsid w:val="00D776DA"/>
    <w:rsid w:val="00D807E8"/>
    <w:rsid w:val="00D80A3D"/>
    <w:rsid w:val="00D82EE5"/>
    <w:rsid w:val="00D8758B"/>
    <w:rsid w:val="00D942B3"/>
    <w:rsid w:val="00D94863"/>
    <w:rsid w:val="00D94938"/>
    <w:rsid w:val="00D97FF8"/>
    <w:rsid w:val="00DA1BAF"/>
    <w:rsid w:val="00DA569E"/>
    <w:rsid w:val="00DA6EFD"/>
    <w:rsid w:val="00DA7092"/>
    <w:rsid w:val="00DA7D09"/>
    <w:rsid w:val="00DB465C"/>
    <w:rsid w:val="00DB6E22"/>
    <w:rsid w:val="00DB743E"/>
    <w:rsid w:val="00DC06CA"/>
    <w:rsid w:val="00DC2630"/>
    <w:rsid w:val="00DC49E9"/>
    <w:rsid w:val="00DC55E4"/>
    <w:rsid w:val="00DC7D71"/>
    <w:rsid w:val="00DD188C"/>
    <w:rsid w:val="00DD29A3"/>
    <w:rsid w:val="00DD2AFD"/>
    <w:rsid w:val="00DD37E5"/>
    <w:rsid w:val="00DD3A70"/>
    <w:rsid w:val="00DD48EE"/>
    <w:rsid w:val="00DD5298"/>
    <w:rsid w:val="00DE00C2"/>
    <w:rsid w:val="00DE0B96"/>
    <w:rsid w:val="00DE10B9"/>
    <w:rsid w:val="00DE3D50"/>
    <w:rsid w:val="00DE46F5"/>
    <w:rsid w:val="00DF0B13"/>
    <w:rsid w:val="00DF2EB8"/>
    <w:rsid w:val="00DF387A"/>
    <w:rsid w:val="00DF4A94"/>
    <w:rsid w:val="00DF51C0"/>
    <w:rsid w:val="00DF57FE"/>
    <w:rsid w:val="00DF6003"/>
    <w:rsid w:val="00DF68C6"/>
    <w:rsid w:val="00E00095"/>
    <w:rsid w:val="00E024C0"/>
    <w:rsid w:val="00E066C3"/>
    <w:rsid w:val="00E07CB9"/>
    <w:rsid w:val="00E07E2C"/>
    <w:rsid w:val="00E10D8C"/>
    <w:rsid w:val="00E1353A"/>
    <w:rsid w:val="00E1564B"/>
    <w:rsid w:val="00E178A8"/>
    <w:rsid w:val="00E208A0"/>
    <w:rsid w:val="00E23DE3"/>
    <w:rsid w:val="00E25B49"/>
    <w:rsid w:val="00E277D0"/>
    <w:rsid w:val="00E3106A"/>
    <w:rsid w:val="00E3190B"/>
    <w:rsid w:val="00E359EB"/>
    <w:rsid w:val="00E371EA"/>
    <w:rsid w:val="00E45144"/>
    <w:rsid w:val="00E45AAE"/>
    <w:rsid w:val="00E64429"/>
    <w:rsid w:val="00E677DD"/>
    <w:rsid w:val="00E756C0"/>
    <w:rsid w:val="00E7594B"/>
    <w:rsid w:val="00E77276"/>
    <w:rsid w:val="00E86962"/>
    <w:rsid w:val="00E86982"/>
    <w:rsid w:val="00E87F53"/>
    <w:rsid w:val="00E93E8F"/>
    <w:rsid w:val="00E95770"/>
    <w:rsid w:val="00E9768C"/>
    <w:rsid w:val="00E976A3"/>
    <w:rsid w:val="00EA07D1"/>
    <w:rsid w:val="00EA1720"/>
    <w:rsid w:val="00EA75CA"/>
    <w:rsid w:val="00EB047D"/>
    <w:rsid w:val="00EB1EFC"/>
    <w:rsid w:val="00EB4688"/>
    <w:rsid w:val="00EB5B4C"/>
    <w:rsid w:val="00EB6C07"/>
    <w:rsid w:val="00EB75EB"/>
    <w:rsid w:val="00EC028D"/>
    <w:rsid w:val="00EC57B2"/>
    <w:rsid w:val="00ED2BB2"/>
    <w:rsid w:val="00ED3A23"/>
    <w:rsid w:val="00ED4B17"/>
    <w:rsid w:val="00ED5AC2"/>
    <w:rsid w:val="00ED633B"/>
    <w:rsid w:val="00ED7045"/>
    <w:rsid w:val="00EE0614"/>
    <w:rsid w:val="00EE173D"/>
    <w:rsid w:val="00EE2BB4"/>
    <w:rsid w:val="00EE2BBB"/>
    <w:rsid w:val="00EE478C"/>
    <w:rsid w:val="00EE4B79"/>
    <w:rsid w:val="00EF09AA"/>
    <w:rsid w:val="00EF2D57"/>
    <w:rsid w:val="00EF3147"/>
    <w:rsid w:val="00EF5649"/>
    <w:rsid w:val="00EF75ED"/>
    <w:rsid w:val="00F004DC"/>
    <w:rsid w:val="00F0168F"/>
    <w:rsid w:val="00F039C0"/>
    <w:rsid w:val="00F06A31"/>
    <w:rsid w:val="00F1132C"/>
    <w:rsid w:val="00F11CE7"/>
    <w:rsid w:val="00F15BE2"/>
    <w:rsid w:val="00F15DD5"/>
    <w:rsid w:val="00F165FE"/>
    <w:rsid w:val="00F17D4B"/>
    <w:rsid w:val="00F23139"/>
    <w:rsid w:val="00F24440"/>
    <w:rsid w:val="00F27F93"/>
    <w:rsid w:val="00F35220"/>
    <w:rsid w:val="00F360EE"/>
    <w:rsid w:val="00F3702A"/>
    <w:rsid w:val="00F41890"/>
    <w:rsid w:val="00F4418B"/>
    <w:rsid w:val="00F44657"/>
    <w:rsid w:val="00F52C14"/>
    <w:rsid w:val="00F52DE7"/>
    <w:rsid w:val="00F6376A"/>
    <w:rsid w:val="00F63EE9"/>
    <w:rsid w:val="00F6477C"/>
    <w:rsid w:val="00F66CD5"/>
    <w:rsid w:val="00F67A9A"/>
    <w:rsid w:val="00F70F4E"/>
    <w:rsid w:val="00F73113"/>
    <w:rsid w:val="00F74DF2"/>
    <w:rsid w:val="00F750C6"/>
    <w:rsid w:val="00F75FC4"/>
    <w:rsid w:val="00F77021"/>
    <w:rsid w:val="00F82955"/>
    <w:rsid w:val="00F8416E"/>
    <w:rsid w:val="00F8450B"/>
    <w:rsid w:val="00F8514E"/>
    <w:rsid w:val="00F85981"/>
    <w:rsid w:val="00F87263"/>
    <w:rsid w:val="00F9051C"/>
    <w:rsid w:val="00F92548"/>
    <w:rsid w:val="00F93725"/>
    <w:rsid w:val="00F9419C"/>
    <w:rsid w:val="00F94636"/>
    <w:rsid w:val="00F97943"/>
    <w:rsid w:val="00FA01FF"/>
    <w:rsid w:val="00FA222F"/>
    <w:rsid w:val="00FA4890"/>
    <w:rsid w:val="00FB0BC3"/>
    <w:rsid w:val="00FB30DB"/>
    <w:rsid w:val="00FB76D1"/>
    <w:rsid w:val="00FB77FA"/>
    <w:rsid w:val="00FC004B"/>
    <w:rsid w:val="00FC3C70"/>
    <w:rsid w:val="00FC4A73"/>
    <w:rsid w:val="00FC5052"/>
    <w:rsid w:val="00FC5399"/>
    <w:rsid w:val="00FC559C"/>
    <w:rsid w:val="00FC7F0D"/>
    <w:rsid w:val="00FD7FA6"/>
    <w:rsid w:val="00FE0621"/>
    <w:rsid w:val="00FE645A"/>
    <w:rsid w:val="00FE7677"/>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0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unhideWhenUsed/>
    <w:rsid w:val="00E677DD"/>
    <w:rPr>
      <w:sz w:val="20"/>
      <w:szCs w:val="20"/>
    </w:rPr>
  </w:style>
  <w:style w:type="character" w:customStyle="1" w:styleId="CommentTextChar">
    <w:name w:val="Comment Text Char"/>
    <w:basedOn w:val="DefaultParagraphFont"/>
    <w:link w:val="CommentText"/>
    <w:uiPriority w:val="99"/>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basedOn w:val="Normal"/>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Revision">
    <w:name w:val="Revision"/>
    <w:hidden/>
    <w:uiPriority w:val="99"/>
    <w:semiHidden/>
    <w:rsid w:val="003224C2"/>
    <w:pPr>
      <w:spacing w:after="0" w:line="240" w:lineRule="auto"/>
    </w:pPr>
    <w:rPr>
      <w:sz w:val="24"/>
      <w:szCs w:val="24"/>
    </w:rPr>
  </w:style>
  <w:style w:type="character" w:styleId="UnresolvedMention">
    <w:name w:val="Unresolved Mention"/>
    <w:basedOn w:val="DefaultParagraphFont"/>
    <w:uiPriority w:val="99"/>
    <w:semiHidden/>
    <w:unhideWhenUsed/>
    <w:rsid w:val="003D799E"/>
    <w:rPr>
      <w:color w:val="605E5C"/>
      <w:shd w:val="clear" w:color="auto" w:fill="E1DFDD"/>
    </w:rPr>
  </w:style>
  <w:style w:type="character" w:styleId="FollowedHyperlink">
    <w:name w:val="FollowedHyperlink"/>
    <w:basedOn w:val="DefaultParagraphFont"/>
    <w:uiPriority w:val="99"/>
    <w:semiHidden/>
    <w:unhideWhenUsed/>
    <w:rsid w:val="003C4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01711">
      <w:bodyDiv w:val="1"/>
      <w:marLeft w:val="0"/>
      <w:marRight w:val="0"/>
      <w:marTop w:val="0"/>
      <w:marBottom w:val="0"/>
      <w:divBdr>
        <w:top w:val="none" w:sz="0" w:space="0" w:color="auto"/>
        <w:left w:val="none" w:sz="0" w:space="0" w:color="auto"/>
        <w:bottom w:val="none" w:sz="0" w:space="0" w:color="auto"/>
        <w:right w:val="none" w:sz="0" w:space="0" w:color="auto"/>
      </w:divBdr>
    </w:div>
    <w:div w:id="125974328">
      <w:bodyDiv w:val="1"/>
      <w:marLeft w:val="0"/>
      <w:marRight w:val="0"/>
      <w:marTop w:val="0"/>
      <w:marBottom w:val="0"/>
      <w:divBdr>
        <w:top w:val="none" w:sz="0" w:space="0" w:color="auto"/>
        <w:left w:val="none" w:sz="0" w:space="0" w:color="auto"/>
        <w:bottom w:val="none" w:sz="0" w:space="0" w:color="auto"/>
        <w:right w:val="none" w:sz="0" w:space="0" w:color="auto"/>
      </w:divBdr>
      <w:divsChild>
        <w:div w:id="2086567198">
          <w:marLeft w:val="547"/>
          <w:marRight w:val="0"/>
          <w:marTop w:val="0"/>
          <w:marBottom w:val="0"/>
          <w:divBdr>
            <w:top w:val="none" w:sz="0" w:space="0" w:color="auto"/>
            <w:left w:val="none" w:sz="0" w:space="0" w:color="auto"/>
            <w:bottom w:val="none" w:sz="0" w:space="0" w:color="auto"/>
            <w:right w:val="none" w:sz="0" w:space="0" w:color="auto"/>
          </w:divBdr>
        </w:div>
      </w:divsChild>
    </w:div>
    <w:div w:id="294213013">
      <w:bodyDiv w:val="1"/>
      <w:marLeft w:val="0"/>
      <w:marRight w:val="0"/>
      <w:marTop w:val="0"/>
      <w:marBottom w:val="0"/>
      <w:divBdr>
        <w:top w:val="none" w:sz="0" w:space="0" w:color="auto"/>
        <w:left w:val="none" w:sz="0" w:space="0" w:color="auto"/>
        <w:bottom w:val="none" w:sz="0" w:space="0" w:color="auto"/>
        <w:right w:val="none" w:sz="0" w:space="0" w:color="auto"/>
      </w:divBdr>
      <w:divsChild>
        <w:div w:id="1428498722">
          <w:marLeft w:val="547"/>
          <w:marRight w:val="0"/>
          <w:marTop w:val="0"/>
          <w:marBottom w:val="0"/>
          <w:divBdr>
            <w:top w:val="none" w:sz="0" w:space="0" w:color="auto"/>
            <w:left w:val="none" w:sz="0" w:space="0" w:color="auto"/>
            <w:bottom w:val="none" w:sz="0" w:space="0" w:color="auto"/>
            <w:right w:val="none" w:sz="0" w:space="0" w:color="auto"/>
          </w:divBdr>
        </w:div>
      </w:divsChild>
    </w:div>
    <w:div w:id="363143440">
      <w:bodyDiv w:val="1"/>
      <w:marLeft w:val="0"/>
      <w:marRight w:val="0"/>
      <w:marTop w:val="0"/>
      <w:marBottom w:val="0"/>
      <w:divBdr>
        <w:top w:val="none" w:sz="0" w:space="0" w:color="auto"/>
        <w:left w:val="none" w:sz="0" w:space="0" w:color="auto"/>
        <w:bottom w:val="none" w:sz="0" w:space="0" w:color="auto"/>
        <w:right w:val="none" w:sz="0" w:space="0" w:color="auto"/>
      </w:divBdr>
      <w:divsChild>
        <w:div w:id="1983264423">
          <w:marLeft w:val="0"/>
          <w:marRight w:val="0"/>
          <w:marTop w:val="0"/>
          <w:marBottom w:val="0"/>
          <w:divBdr>
            <w:top w:val="none" w:sz="0" w:space="0" w:color="C4DEEE"/>
            <w:left w:val="none" w:sz="0" w:space="0" w:color="C4DEEE"/>
            <w:bottom w:val="none" w:sz="0" w:space="0" w:color="C4DEEE"/>
            <w:right w:val="none" w:sz="0" w:space="0" w:color="C4DEEE"/>
          </w:divBdr>
          <w:divsChild>
            <w:div w:id="1319505243">
              <w:marLeft w:val="0"/>
              <w:marRight w:val="0"/>
              <w:marTop w:val="0"/>
              <w:marBottom w:val="0"/>
              <w:divBdr>
                <w:top w:val="none" w:sz="0" w:space="0" w:color="C4DEEE"/>
                <w:left w:val="none" w:sz="0" w:space="0" w:color="C4DEEE"/>
                <w:bottom w:val="none" w:sz="0" w:space="0" w:color="C4DEEE"/>
                <w:right w:val="none" w:sz="0" w:space="0" w:color="C4DEEE"/>
              </w:divBdr>
            </w:div>
          </w:divsChild>
        </w:div>
        <w:div w:id="832722666">
          <w:marLeft w:val="0"/>
          <w:marRight w:val="0"/>
          <w:marTop w:val="0"/>
          <w:marBottom w:val="0"/>
          <w:divBdr>
            <w:top w:val="none" w:sz="0" w:space="0" w:color="C4DEEE"/>
            <w:left w:val="none" w:sz="0" w:space="0" w:color="C4DEEE"/>
            <w:bottom w:val="none" w:sz="0" w:space="0" w:color="C4DEEE"/>
            <w:right w:val="none" w:sz="0" w:space="0" w:color="C4DEEE"/>
          </w:divBdr>
        </w:div>
        <w:div w:id="1941402197">
          <w:marLeft w:val="0"/>
          <w:marRight w:val="0"/>
          <w:marTop w:val="0"/>
          <w:marBottom w:val="0"/>
          <w:divBdr>
            <w:top w:val="none" w:sz="0" w:space="0" w:color="C4DEEE"/>
            <w:left w:val="none" w:sz="0" w:space="0" w:color="C4DEEE"/>
            <w:bottom w:val="none" w:sz="0" w:space="0" w:color="C4DEEE"/>
            <w:right w:val="none" w:sz="0" w:space="0" w:color="C4DEEE"/>
          </w:divBdr>
        </w:div>
        <w:div w:id="1486891209">
          <w:marLeft w:val="0"/>
          <w:marRight w:val="0"/>
          <w:marTop w:val="0"/>
          <w:marBottom w:val="0"/>
          <w:divBdr>
            <w:top w:val="none" w:sz="0" w:space="2" w:color="C4DEEE"/>
            <w:left w:val="none" w:sz="0" w:space="15" w:color="C4DEEE"/>
            <w:bottom w:val="none" w:sz="0" w:space="2" w:color="C4DEEE"/>
            <w:right w:val="none" w:sz="0" w:space="2" w:color="C4DEEE"/>
          </w:divBdr>
        </w:div>
        <w:div w:id="905804259">
          <w:marLeft w:val="0"/>
          <w:marRight w:val="0"/>
          <w:marTop w:val="0"/>
          <w:marBottom w:val="0"/>
          <w:divBdr>
            <w:top w:val="none" w:sz="0" w:space="0" w:color="C4DEEE"/>
            <w:left w:val="none" w:sz="0" w:space="0" w:color="C4DEEE"/>
            <w:bottom w:val="none" w:sz="0" w:space="0" w:color="C4DEEE"/>
            <w:right w:val="none" w:sz="0" w:space="0" w:color="C4DEEE"/>
          </w:divBdr>
          <w:divsChild>
            <w:div w:id="658576287">
              <w:marLeft w:val="0"/>
              <w:marRight w:val="0"/>
              <w:marTop w:val="0"/>
              <w:marBottom w:val="0"/>
              <w:divBdr>
                <w:top w:val="none" w:sz="0" w:space="0" w:color="C4DEEE"/>
                <w:left w:val="none" w:sz="0" w:space="0" w:color="C4DEEE"/>
                <w:bottom w:val="none" w:sz="0" w:space="0" w:color="C4DEEE"/>
                <w:right w:val="none" w:sz="0" w:space="0" w:color="C4DEEE"/>
              </w:divBdr>
            </w:div>
          </w:divsChild>
        </w:div>
        <w:div w:id="720980028">
          <w:marLeft w:val="0"/>
          <w:marRight w:val="0"/>
          <w:marTop w:val="0"/>
          <w:marBottom w:val="0"/>
          <w:divBdr>
            <w:top w:val="none" w:sz="0" w:space="0" w:color="C4DEEE"/>
            <w:left w:val="none" w:sz="0" w:space="0" w:color="C4DEEE"/>
            <w:bottom w:val="none" w:sz="0" w:space="0" w:color="C4DEEE"/>
            <w:right w:val="none" w:sz="0" w:space="0" w:color="C4DEEE"/>
          </w:divBdr>
        </w:div>
        <w:div w:id="1112626856">
          <w:marLeft w:val="0"/>
          <w:marRight w:val="0"/>
          <w:marTop w:val="0"/>
          <w:marBottom w:val="0"/>
          <w:divBdr>
            <w:top w:val="none" w:sz="0" w:space="0" w:color="C4DEEE"/>
            <w:left w:val="none" w:sz="0" w:space="0" w:color="C4DEEE"/>
            <w:bottom w:val="none" w:sz="0" w:space="0" w:color="C4DEEE"/>
            <w:right w:val="none" w:sz="0" w:space="0" w:color="C4DEEE"/>
          </w:divBdr>
        </w:div>
      </w:divsChild>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910164550">
      <w:bodyDiv w:val="1"/>
      <w:marLeft w:val="0"/>
      <w:marRight w:val="0"/>
      <w:marTop w:val="0"/>
      <w:marBottom w:val="0"/>
      <w:divBdr>
        <w:top w:val="none" w:sz="0" w:space="0" w:color="auto"/>
        <w:left w:val="none" w:sz="0" w:space="0" w:color="auto"/>
        <w:bottom w:val="none" w:sz="0" w:space="0" w:color="auto"/>
        <w:right w:val="none" w:sz="0" w:space="0" w:color="auto"/>
      </w:divBdr>
    </w:div>
    <w:div w:id="1025324448">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352294240">
      <w:bodyDiv w:val="1"/>
      <w:marLeft w:val="0"/>
      <w:marRight w:val="0"/>
      <w:marTop w:val="0"/>
      <w:marBottom w:val="0"/>
      <w:divBdr>
        <w:top w:val="none" w:sz="0" w:space="0" w:color="auto"/>
        <w:left w:val="none" w:sz="0" w:space="0" w:color="auto"/>
        <w:bottom w:val="none" w:sz="0" w:space="0" w:color="auto"/>
        <w:right w:val="none" w:sz="0" w:space="0" w:color="auto"/>
      </w:divBdr>
    </w:div>
    <w:div w:id="1552496712">
      <w:bodyDiv w:val="1"/>
      <w:marLeft w:val="0"/>
      <w:marRight w:val="0"/>
      <w:marTop w:val="0"/>
      <w:marBottom w:val="0"/>
      <w:divBdr>
        <w:top w:val="none" w:sz="0" w:space="0" w:color="auto"/>
        <w:left w:val="none" w:sz="0" w:space="0" w:color="auto"/>
        <w:bottom w:val="none" w:sz="0" w:space="0" w:color="auto"/>
        <w:right w:val="none" w:sz="0" w:space="0" w:color="auto"/>
      </w:divBdr>
      <w:divsChild>
        <w:div w:id="1671057713">
          <w:marLeft w:val="547"/>
          <w:marRight w:val="0"/>
          <w:marTop w:val="0"/>
          <w:marBottom w:val="0"/>
          <w:divBdr>
            <w:top w:val="none" w:sz="0" w:space="0" w:color="auto"/>
            <w:left w:val="none" w:sz="0" w:space="0" w:color="auto"/>
            <w:bottom w:val="none" w:sz="0" w:space="0" w:color="auto"/>
            <w:right w:val="none" w:sz="0" w:space="0" w:color="auto"/>
          </w:divBdr>
        </w:div>
      </w:divsChild>
    </w:div>
    <w:div w:id="1556158398">
      <w:bodyDiv w:val="1"/>
      <w:marLeft w:val="0"/>
      <w:marRight w:val="0"/>
      <w:marTop w:val="0"/>
      <w:marBottom w:val="0"/>
      <w:divBdr>
        <w:top w:val="none" w:sz="0" w:space="0" w:color="auto"/>
        <w:left w:val="none" w:sz="0" w:space="0" w:color="auto"/>
        <w:bottom w:val="none" w:sz="0" w:space="0" w:color="auto"/>
        <w:right w:val="none" w:sz="0" w:space="0" w:color="auto"/>
      </w:divBdr>
      <w:divsChild>
        <w:div w:id="31612563">
          <w:marLeft w:val="547"/>
          <w:marRight w:val="0"/>
          <w:marTop w:val="0"/>
          <w:marBottom w:val="0"/>
          <w:divBdr>
            <w:top w:val="none" w:sz="0" w:space="0" w:color="auto"/>
            <w:left w:val="none" w:sz="0" w:space="0" w:color="auto"/>
            <w:bottom w:val="none" w:sz="0" w:space="0" w:color="auto"/>
            <w:right w:val="none" w:sz="0" w:space="0" w:color="auto"/>
          </w:divBdr>
        </w:div>
      </w:divsChild>
    </w:div>
    <w:div w:id="1582521765">
      <w:bodyDiv w:val="1"/>
      <w:marLeft w:val="0"/>
      <w:marRight w:val="0"/>
      <w:marTop w:val="0"/>
      <w:marBottom w:val="0"/>
      <w:divBdr>
        <w:top w:val="none" w:sz="0" w:space="0" w:color="auto"/>
        <w:left w:val="none" w:sz="0" w:space="0" w:color="auto"/>
        <w:bottom w:val="none" w:sz="0" w:space="0" w:color="auto"/>
        <w:right w:val="none" w:sz="0" w:space="0" w:color="auto"/>
      </w:divBdr>
      <w:divsChild>
        <w:div w:id="669257424">
          <w:marLeft w:val="0"/>
          <w:marRight w:val="0"/>
          <w:marTop w:val="0"/>
          <w:marBottom w:val="0"/>
          <w:divBdr>
            <w:top w:val="none" w:sz="0" w:space="0" w:color="C4DEEE"/>
            <w:left w:val="none" w:sz="0" w:space="0" w:color="C4DEEE"/>
            <w:bottom w:val="none" w:sz="0" w:space="0" w:color="C4DEEE"/>
            <w:right w:val="none" w:sz="0" w:space="0" w:color="C4DEEE"/>
          </w:divBdr>
          <w:divsChild>
            <w:div w:id="1937401510">
              <w:marLeft w:val="0"/>
              <w:marRight w:val="0"/>
              <w:marTop w:val="0"/>
              <w:marBottom w:val="0"/>
              <w:divBdr>
                <w:top w:val="none" w:sz="0" w:space="0" w:color="C4DEEE"/>
                <w:left w:val="none" w:sz="0" w:space="0" w:color="C4DEEE"/>
                <w:bottom w:val="none" w:sz="0" w:space="0" w:color="C4DEEE"/>
                <w:right w:val="none" w:sz="0" w:space="0" w:color="C4DEEE"/>
              </w:divBdr>
            </w:div>
          </w:divsChild>
        </w:div>
        <w:div w:id="1335452367">
          <w:marLeft w:val="0"/>
          <w:marRight w:val="0"/>
          <w:marTop w:val="0"/>
          <w:marBottom w:val="0"/>
          <w:divBdr>
            <w:top w:val="none" w:sz="0" w:space="0" w:color="C4DEEE"/>
            <w:left w:val="none" w:sz="0" w:space="0" w:color="C4DEEE"/>
            <w:bottom w:val="none" w:sz="0" w:space="0" w:color="C4DEEE"/>
            <w:right w:val="none" w:sz="0" w:space="0" w:color="C4DEEE"/>
          </w:divBdr>
        </w:div>
        <w:div w:id="1052314456">
          <w:marLeft w:val="0"/>
          <w:marRight w:val="0"/>
          <w:marTop w:val="0"/>
          <w:marBottom w:val="0"/>
          <w:divBdr>
            <w:top w:val="none" w:sz="0" w:space="0" w:color="C4DEEE"/>
            <w:left w:val="none" w:sz="0" w:space="0" w:color="C4DEEE"/>
            <w:bottom w:val="none" w:sz="0" w:space="0" w:color="C4DEEE"/>
            <w:right w:val="none" w:sz="0" w:space="0" w:color="C4DEEE"/>
          </w:divBdr>
        </w:div>
        <w:div w:id="688260972">
          <w:marLeft w:val="0"/>
          <w:marRight w:val="0"/>
          <w:marTop w:val="0"/>
          <w:marBottom w:val="0"/>
          <w:divBdr>
            <w:top w:val="none" w:sz="0" w:space="2" w:color="C4DEEE"/>
            <w:left w:val="none" w:sz="0" w:space="15" w:color="C4DEEE"/>
            <w:bottom w:val="none" w:sz="0" w:space="2" w:color="C4DEEE"/>
            <w:right w:val="none" w:sz="0" w:space="2" w:color="C4DEEE"/>
          </w:divBdr>
        </w:div>
        <w:div w:id="101733980">
          <w:marLeft w:val="0"/>
          <w:marRight w:val="0"/>
          <w:marTop w:val="0"/>
          <w:marBottom w:val="0"/>
          <w:divBdr>
            <w:top w:val="none" w:sz="0" w:space="0" w:color="C4DEEE"/>
            <w:left w:val="none" w:sz="0" w:space="0" w:color="C4DEEE"/>
            <w:bottom w:val="none" w:sz="0" w:space="0" w:color="C4DEEE"/>
            <w:right w:val="none" w:sz="0" w:space="0" w:color="C4DEEE"/>
          </w:divBdr>
          <w:divsChild>
            <w:div w:id="1988699792">
              <w:marLeft w:val="0"/>
              <w:marRight w:val="0"/>
              <w:marTop w:val="0"/>
              <w:marBottom w:val="0"/>
              <w:divBdr>
                <w:top w:val="none" w:sz="0" w:space="0" w:color="C4DEEE"/>
                <w:left w:val="none" w:sz="0" w:space="0" w:color="C4DEEE"/>
                <w:bottom w:val="none" w:sz="0" w:space="0" w:color="C4DEEE"/>
                <w:right w:val="none" w:sz="0" w:space="0" w:color="C4DEEE"/>
              </w:divBdr>
            </w:div>
          </w:divsChild>
        </w:div>
        <w:div w:id="928586935">
          <w:marLeft w:val="0"/>
          <w:marRight w:val="0"/>
          <w:marTop w:val="0"/>
          <w:marBottom w:val="0"/>
          <w:divBdr>
            <w:top w:val="none" w:sz="0" w:space="0" w:color="C4DEEE"/>
            <w:left w:val="none" w:sz="0" w:space="0" w:color="C4DEEE"/>
            <w:bottom w:val="none" w:sz="0" w:space="0" w:color="C4DEEE"/>
            <w:right w:val="none" w:sz="0" w:space="0" w:color="C4DEEE"/>
          </w:divBdr>
        </w:div>
        <w:div w:id="844826323">
          <w:marLeft w:val="0"/>
          <w:marRight w:val="0"/>
          <w:marTop w:val="0"/>
          <w:marBottom w:val="0"/>
          <w:divBdr>
            <w:top w:val="none" w:sz="0" w:space="0" w:color="C4DEEE"/>
            <w:left w:val="none" w:sz="0" w:space="0" w:color="C4DEEE"/>
            <w:bottom w:val="none" w:sz="0" w:space="0" w:color="C4DEEE"/>
            <w:right w:val="none" w:sz="0" w:space="0" w:color="C4DEEE"/>
          </w:divBdr>
        </w:div>
      </w:divsChild>
    </w:div>
    <w:div w:id="1634098354">
      <w:bodyDiv w:val="1"/>
      <w:marLeft w:val="0"/>
      <w:marRight w:val="0"/>
      <w:marTop w:val="0"/>
      <w:marBottom w:val="0"/>
      <w:divBdr>
        <w:top w:val="none" w:sz="0" w:space="0" w:color="auto"/>
        <w:left w:val="none" w:sz="0" w:space="0" w:color="auto"/>
        <w:bottom w:val="none" w:sz="0" w:space="0" w:color="auto"/>
        <w:right w:val="none" w:sz="0" w:space="0" w:color="auto"/>
      </w:divBdr>
      <w:divsChild>
        <w:div w:id="1111320542">
          <w:marLeft w:val="547"/>
          <w:marRight w:val="0"/>
          <w:marTop w:val="0"/>
          <w:marBottom w:val="0"/>
          <w:divBdr>
            <w:top w:val="none" w:sz="0" w:space="0" w:color="auto"/>
            <w:left w:val="none" w:sz="0" w:space="0" w:color="auto"/>
            <w:bottom w:val="none" w:sz="0" w:space="0" w:color="auto"/>
            <w:right w:val="none" w:sz="0" w:space="0" w:color="auto"/>
          </w:divBdr>
        </w:div>
      </w:divsChild>
    </w:div>
    <w:div w:id="1639070393">
      <w:bodyDiv w:val="1"/>
      <w:marLeft w:val="0"/>
      <w:marRight w:val="0"/>
      <w:marTop w:val="0"/>
      <w:marBottom w:val="0"/>
      <w:divBdr>
        <w:top w:val="none" w:sz="0" w:space="0" w:color="auto"/>
        <w:left w:val="none" w:sz="0" w:space="0" w:color="auto"/>
        <w:bottom w:val="none" w:sz="0" w:space="0" w:color="auto"/>
        <w:right w:val="none" w:sz="0" w:space="0" w:color="auto"/>
      </w:divBdr>
    </w:div>
    <w:div w:id="1639802110">
      <w:bodyDiv w:val="1"/>
      <w:marLeft w:val="0"/>
      <w:marRight w:val="0"/>
      <w:marTop w:val="0"/>
      <w:marBottom w:val="0"/>
      <w:divBdr>
        <w:top w:val="none" w:sz="0" w:space="0" w:color="auto"/>
        <w:left w:val="none" w:sz="0" w:space="0" w:color="auto"/>
        <w:bottom w:val="none" w:sz="0" w:space="0" w:color="auto"/>
        <w:right w:val="none" w:sz="0" w:space="0" w:color="auto"/>
      </w:divBdr>
      <w:divsChild>
        <w:div w:id="1299532464">
          <w:marLeft w:val="547"/>
          <w:marRight w:val="0"/>
          <w:marTop w:val="0"/>
          <w:marBottom w:val="0"/>
          <w:divBdr>
            <w:top w:val="none" w:sz="0" w:space="0" w:color="auto"/>
            <w:left w:val="none" w:sz="0" w:space="0" w:color="auto"/>
            <w:bottom w:val="none" w:sz="0" w:space="0" w:color="auto"/>
            <w:right w:val="none" w:sz="0" w:space="0" w:color="auto"/>
          </w:divBdr>
        </w:div>
      </w:divsChild>
    </w:div>
    <w:div w:id="1925072404">
      <w:bodyDiv w:val="1"/>
      <w:marLeft w:val="0"/>
      <w:marRight w:val="0"/>
      <w:marTop w:val="0"/>
      <w:marBottom w:val="0"/>
      <w:divBdr>
        <w:top w:val="none" w:sz="0" w:space="0" w:color="auto"/>
        <w:left w:val="none" w:sz="0" w:space="0" w:color="auto"/>
        <w:bottom w:val="none" w:sz="0" w:space="0" w:color="auto"/>
        <w:right w:val="none" w:sz="0" w:space="0" w:color="auto"/>
      </w:divBdr>
      <w:divsChild>
        <w:div w:id="1671563575">
          <w:marLeft w:val="547"/>
          <w:marRight w:val="0"/>
          <w:marTop w:val="0"/>
          <w:marBottom w:val="0"/>
          <w:divBdr>
            <w:top w:val="none" w:sz="0" w:space="0" w:color="auto"/>
            <w:left w:val="none" w:sz="0" w:space="0" w:color="auto"/>
            <w:bottom w:val="none" w:sz="0" w:space="0" w:color="auto"/>
            <w:right w:val="none" w:sz="0" w:space="0" w:color="auto"/>
          </w:divBdr>
        </w:div>
        <w:div w:id="532421727">
          <w:marLeft w:val="547"/>
          <w:marRight w:val="0"/>
          <w:marTop w:val="0"/>
          <w:marBottom w:val="0"/>
          <w:divBdr>
            <w:top w:val="none" w:sz="0" w:space="0" w:color="auto"/>
            <w:left w:val="none" w:sz="0" w:space="0" w:color="auto"/>
            <w:bottom w:val="none" w:sz="0" w:space="0" w:color="auto"/>
            <w:right w:val="none" w:sz="0" w:space="0" w:color="auto"/>
          </w:divBdr>
        </w:div>
      </w:divsChild>
    </w:div>
    <w:div w:id="198962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s://www.pbs.gov.au/info/industry/listing/elements/pbac-meetings/psd/2021-07/nusinersen-solution-for-injection-12-6-mg-in-5-ml-spinraza" TargetMode="External"/><Relationship Id="rId18" Type="http://schemas.openxmlformats.org/officeDocument/2006/relationships/chart" Target="charts/chart3.xm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6.xml"/><Relationship Id="rId7" Type="http://schemas.openxmlformats.org/officeDocument/2006/relationships/endnotes" Target="endnotes.xml"/><Relationship Id="rId12" Type="http://schemas.openxmlformats.org/officeDocument/2006/relationships/hyperlink" Target="https://www.pbs.gov.au/info/industry/listing/elements/pbac-meetings/psd/2020-11/nusinersen-solution-for-injection-12-mg-in-5-ml-spinraza" TargetMode="External"/><Relationship Id="rId17" Type="http://schemas.openxmlformats.org/officeDocument/2006/relationships/chart" Target="charts/chart2.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chart" Target="charts/chart7.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bs.gov.au/info/industry/listing/participants/public-release-docs/2021-02/nusinersen-for-spinal-muscular-atrophy-24-month-predicted" TargetMode="External"/><Relationship Id="rId23" Type="http://schemas.openxmlformats.org/officeDocument/2006/relationships/image" Target="media/image2.svg"/><Relationship Id="rId28" Type="http://schemas.openxmlformats.org/officeDocument/2006/relationships/footer" Target="footer2.xml"/><Relationship Id="rId10" Type="http://schemas.openxmlformats.org/officeDocument/2006/relationships/hyperlink" Target="file:///\\central.health\DFSGroupData\Sites\CO1\CO\PBD\PEB\EVAL\DUSC\DUSC%20Documents\Predicted%20vs%20actual%20usage\pbs.gov.au" TargetMode="External"/><Relationship Id="rId19" Type="http://schemas.openxmlformats.org/officeDocument/2006/relationships/chart" Target="charts/chart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info/industry/listing/elements/pbac-meetings/psd/2022-03/nusinersen-solution-for-injection-12-mg-in-5-ml-spinraza" TargetMode="External"/><Relationship Id="rId22" Type="http://schemas.openxmlformats.org/officeDocument/2006/relationships/image" Target="media/image1.png"/><Relationship Id="rId27" Type="http://schemas.openxmlformats.org/officeDocument/2006/relationships/footer" Target="footer1.xml"/><Relationship Id="rId30"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8773/austprescr.2022.041" TargetMode="External"/><Relationship Id="rId2" Type="http://schemas.openxmlformats.org/officeDocument/2006/relationships/hyperlink" Target="https://doi.org/10.18773/austprescr.2022.044" TargetMode="External"/><Relationship Id="rId1" Type="http://schemas.openxmlformats.org/officeDocument/2006/relationships/hyperlink" Target="http://www.medicareaustralia.gov.au/provider/pbs/stats.jsp" TargetMode="External"/><Relationship Id="rId4" Type="http://schemas.openxmlformats.org/officeDocument/2006/relationships/hyperlink" Target="https://doi.org/10.18773/austprescr.2019.01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HOMONI\OneDrive%20-%20Department%20of%20Health\Desktop\NUSINERSEN\nusinsersen%20review.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OMONI\OneDrive%20-%20Department%20of%20Health\Desktop\NUSINERSEN\nusinsersen%20review.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healthgov-my.sharepoint.com/personal/monica_ho2_health_gov_au/Documents/Desktop/NUSINERSEN/nusinsersen%20revie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OMONI\OneDrive%20-%20Department%20of%20Health\Desktop\NUSINERSEN\nusinsersen%20review.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OMONI\OneDrive%20-%20Department%20of%20Health\Desktop\NUSINERSEN\nusinsersen%20revie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OMONI\OneDrive%20-%20Department%20of%20Health\Desktop\NUSINERSEN\nusinsersen%20revie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OMONI\OneDrive%20-%20Department%20of%20Health\Desktop\NUSINERSEN\nusinsersen%20review.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[nusinsersen review.xlsx]childadult!PivotTable8</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childadult!$Q$33:$Q$34</c:f>
              <c:strCache>
                <c:ptCount val="1"/>
                <c:pt idx="0">
                  <c:v>Overall</c:v>
                </c:pt>
              </c:strCache>
            </c:strRef>
          </c:tx>
          <c:spPr>
            <a:ln w="28575" cap="rnd">
              <a:solidFill>
                <a:schemeClr val="accent1"/>
              </a:solidFill>
              <a:round/>
            </a:ln>
            <a:effectLst/>
          </c:spPr>
          <c:marker>
            <c:symbol val="none"/>
          </c:marker>
          <c:cat>
            <c:strRef>
              <c:f>childadult!$P$35:$P$62</c:f>
              <c:strCache>
                <c:ptCount val="27"/>
                <c:pt idx="0">
                  <c:v>2018Q2</c:v>
                </c:pt>
                <c:pt idx="1">
                  <c:v>2018Q3</c:v>
                </c:pt>
                <c:pt idx="2">
                  <c:v>2018Q4</c:v>
                </c:pt>
                <c:pt idx="3">
                  <c:v>2019Q1</c:v>
                </c:pt>
                <c:pt idx="4">
                  <c:v>2019Q2</c:v>
                </c:pt>
                <c:pt idx="5">
                  <c:v>2019Q3</c:v>
                </c:pt>
                <c:pt idx="6">
                  <c:v>2019Q4</c:v>
                </c:pt>
                <c:pt idx="7">
                  <c:v>2020Q1</c:v>
                </c:pt>
                <c:pt idx="8">
                  <c:v>2020Q2</c:v>
                </c:pt>
                <c:pt idx="9">
                  <c:v>2020Q3</c:v>
                </c:pt>
                <c:pt idx="10">
                  <c:v>2020Q4</c:v>
                </c:pt>
                <c:pt idx="11">
                  <c:v>2021Q1</c:v>
                </c:pt>
                <c:pt idx="12">
                  <c:v>2021Q2</c:v>
                </c:pt>
                <c:pt idx="13">
                  <c:v>2021Q3</c:v>
                </c:pt>
                <c:pt idx="14">
                  <c:v>2021Q4</c:v>
                </c:pt>
                <c:pt idx="15">
                  <c:v>2022Q1</c:v>
                </c:pt>
                <c:pt idx="16">
                  <c:v>2022Q2</c:v>
                </c:pt>
                <c:pt idx="17">
                  <c:v>2022Q3</c:v>
                </c:pt>
                <c:pt idx="18">
                  <c:v>2022Q4</c:v>
                </c:pt>
                <c:pt idx="19">
                  <c:v>2023Q1</c:v>
                </c:pt>
                <c:pt idx="20">
                  <c:v>2023Q2</c:v>
                </c:pt>
                <c:pt idx="21">
                  <c:v>2023Q3</c:v>
                </c:pt>
                <c:pt idx="22">
                  <c:v>2023Q4</c:v>
                </c:pt>
                <c:pt idx="23">
                  <c:v>2024Q1</c:v>
                </c:pt>
                <c:pt idx="24">
                  <c:v>2024Q2</c:v>
                </c:pt>
                <c:pt idx="25">
                  <c:v>2024Q3</c:v>
                </c:pt>
                <c:pt idx="26">
                  <c:v>2024Q4</c:v>
                </c:pt>
              </c:strCache>
            </c:strRef>
          </c:cat>
          <c:val>
            <c:numRef>
              <c:f>childadult!$Q$35:$Q$62</c:f>
              <c:numCache>
                <c:formatCode>General</c:formatCode>
                <c:ptCount val="27"/>
                <c:pt idx="0">
                  <c:v>43</c:v>
                </c:pt>
                <c:pt idx="1">
                  <c:v>90</c:v>
                </c:pt>
                <c:pt idx="2">
                  <c:v>94</c:v>
                </c:pt>
                <c:pt idx="3">
                  <c:v>91</c:v>
                </c:pt>
                <c:pt idx="4">
                  <c:v>112</c:v>
                </c:pt>
                <c:pt idx="5">
                  <c:v>128</c:v>
                </c:pt>
                <c:pt idx="6">
                  <c:v>104</c:v>
                </c:pt>
                <c:pt idx="7">
                  <c:v>119</c:v>
                </c:pt>
                <c:pt idx="8">
                  <c:v>118</c:v>
                </c:pt>
                <c:pt idx="9">
                  <c:v>125</c:v>
                </c:pt>
                <c:pt idx="10">
                  <c:v>104</c:v>
                </c:pt>
                <c:pt idx="11">
                  <c:v>116</c:v>
                </c:pt>
                <c:pt idx="12">
                  <c:v>120</c:v>
                </c:pt>
                <c:pt idx="13">
                  <c:v>126</c:v>
                </c:pt>
                <c:pt idx="14">
                  <c:v>136</c:v>
                </c:pt>
                <c:pt idx="15">
                  <c:v>130</c:v>
                </c:pt>
                <c:pt idx="16">
                  <c:v>155</c:v>
                </c:pt>
                <c:pt idx="17">
                  <c:v>166</c:v>
                </c:pt>
                <c:pt idx="18">
                  <c:v>195</c:v>
                </c:pt>
                <c:pt idx="19">
                  <c:v>221</c:v>
                </c:pt>
                <c:pt idx="20">
                  <c:v>211</c:v>
                </c:pt>
                <c:pt idx="21">
                  <c:v>221</c:v>
                </c:pt>
                <c:pt idx="22">
                  <c:v>241</c:v>
                </c:pt>
                <c:pt idx="23">
                  <c:v>257</c:v>
                </c:pt>
                <c:pt idx="24">
                  <c:v>276</c:v>
                </c:pt>
                <c:pt idx="25">
                  <c:v>274</c:v>
                </c:pt>
                <c:pt idx="26">
                  <c:v>284</c:v>
                </c:pt>
              </c:numCache>
            </c:numRef>
          </c:val>
          <c:smooth val="0"/>
          <c:extLst>
            <c:ext xmlns:c16="http://schemas.microsoft.com/office/drawing/2014/chart" uri="{C3380CC4-5D6E-409C-BE32-E72D297353CC}">
              <c16:uniqueId val="{00000000-5DD5-43FE-88BF-00B00415F47B}"/>
            </c:ext>
          </c:extLst>
        </c:ser>
        <c:dLbls>
          <c:showLegendKey val="0"/>
          <c:showVal val="0"/>
          <c:showCatName val="0"/>
          <c:showSerName val="0"/>
          <c:showPercent val="0"/>
          <c:showBubbleSize val="0"/>
        </c:dLbls>
        <c:smooth val="0"/>
        <c:axId val="1054193568"/>
        <c:axId val="1054198608"/>
      </c:lineChart>
      <c:catAx>
        <c:axId val="10541935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198608"/>
        <c:crosses val="autoZero"/>
        <c:auto val="1"/>
        <c:lblAlgn val="ctr"/>
        <c:lblOffset val="100"/>
        <c:noMultiLvlLbl val="0"/>
      </c:catAx>
      <c:valAx>
        <c:axId val="1054198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r>
                  <a:rPr lang="en-AU" baseline="0"/>
                  <a:t> treated</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19356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[nusinsersen review.xlsx]Overall!PivotTable9</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Overall!$R$55:$R$56</c:f>
              <c:strCache>
                <c:ptCount val="1"/>
                <c:pt idx="0">
                  <c:v>NUSINERSEN</c:v>
                </c:pt>
              </c:strCache>
            </c:strRef>
          </c:tx>
          <c:spPr>
            <a:ln w="28575" cap="rnd">
              <a:solidFill>
                <a:schemeClr val="accent1"/>
              </a:solidFill>
              <a:round/>
            </a:ln>
            <a:effectLst/>
          </c:spPr>
          <c:marker>
            <c:symbol val="none"/>
          </c:marker>
          <c:cat>
            <c:strRef>
              <c:f>Overall!$Q$57:$Q$84</c:f>
              <c:strCache>
                <c:ptCount val="27"/>
                <c:pt idx="0">
                  <c:v>2018Q2</c:v>
                </c:pt>
                <c:pt idx="1">
                  <c:v>2018Q3</c:v>
                </c:pt>
                <c:pt idx="2">
                  <c:v>2018Q4</c:v>
                </c:pt>
                <c:pt idx="3">
                  <c:v>2019Q1</c:v>
                </c:pt>
                <c:pt idx="4">
                  <c:v>2019Q2</c:v>
                </c:pt>
                <c:pt idx="5">
                  <c:v>2019Q3</c:v>
                </c:pt>
                <c:pt idx="6">
                  <c:v>2019Q4</c:v>
                </c:pt>
                <c:pt idx="7">
                  <c:v>2020Q1</c:v>
                </c:pt>
                <c:pt idx="8">
                  <c:v>2020Q2</c:v>
                </c:pt>
                <c:pt idx="9">
                  <c:v>2020Q3</c:v>
                </c:pt>
                <c:pt idx="10">
                  <c:v>2020Q4</c:v>
                </c:pt>
                <c:pt idx="11">
                  <c:v>2021Q1</c:v>
                </c:pt>
                <c:pt idx="12">
                  <c:v>2021Q2</c:v>
                </c:pt>
                <c:pt idx="13">
                  <c:v>2021Q3</c:v>
                </c:pt>
                <c:pt idx="14">
                  <c:v>2021Q4</c:v>
                </c:pt>
                <c:pt idx="15">
                  <c:v>2022Q1</c:v>
                </c:pt>
                <c:pt idx="16">
                  <c:v>2022Q2</c:v>
                </c:pt>
                <c:pt idx="17">
                  <c:v>2022Q3</c:v>
                </c:pt>
                <c:pt idx="18">
                  <c:v>2022Q4</c:v>
                </c:pt>
                <c:pt idx="19">
                  <c:v>2023Q1</c:v>
                </c:pt>
                <c:pt idx="20">
                  <c:v>2023Q2</c:v>
                </c:pt>
                <c:pt idx="21">
                  <c:v>2023Q3</c:v>
                </c:pt>
                <c:pt idx="22">
                  <c:v>2023Q4</c:v>
                </c:pt>
                <c:pt idx="23">
                  <c:v>2024Q1</c:v>
                </c:pt>
                <c:pt idx="24">
                  <c:v>2024Q2</c:v>
                </c:pt>
                <c:pt idx="25">
                  <c:v>2024Q3</c:v>
                </c:pt>
                <c:pt idx="26">
                  <c:v>2024Q4</c:v>
                </c:pt>
              </c:strCache>
            </c:strRef>
          </c:cat>
          <c:val>
            <c:numRef>
              <c:f>Overall!$R$57:$R$84</c:f>
              <c:numCache>
                <c:formatCode>General</c:formatCode>
                <c:ptCount val="27"/>
                <c:pt idx="0">
                  <c:v>43</c:v>
                </c:pt>
                <c:pt idx="1">
                  <c:v>90</c:v>
                </c:pt>
                <c:pt idx="2">
                  <c:v>94</c:v>
                </c:pt>
                <c:pt idx="3">
                  <c:v>91</c:v>
                </c:pt>
                <c:pt idx="4">
                  <c:v>112</c:v>
                </c:pt>
                <c:pt idx="5">
                  <c:v>128</c:v>
                </c:pt>
                <c:pt idx="6">
                  <c:v>104</c:v>
                </c:pt>
                <c:pt idx="7">
                  <c:v>119</c:v>
                </c:pt>
                <c:pt idx="8">
                  <c:v>118</c:v>
                </c:pt>
                <c:pt idx="9">
                  <c:v>125</c:v>
                </c:pt>
                <c:pt idx="10">
                  <c:v>104</c:v>
                </c:pt>
                <c:pt idx="11">
                  <c:v>116</c:v>
                </c:pt>
                <c:pt idx="12">
                  <c:v>120</c:v>
                </c:pt>
                <c:pt idx="13">
                  <c:v>103</c:v>
                </c:pt>
                <c:pt idx="14">
                  <c:v>88</c:v>
                </c:pt>
                <c:pt idx="15">
                  <c:v>74</c:v>
                </c:pt>
                <c:pt idx="16">
                  <c:v>91</c:v>
                </c:pt>
                <c:pt idx="17">
                  <c:v>92</c:v>
                </c:pt>
                <c:pt idx="18">
                  <c:v>117</c:v>
                </c:pt>
                <c:pt idx="19">
                  <c:v>140</c:v>
                </c:pt>
                <c:pt idx="20">
                  <c:v>132</c:v>
                </c:pt>
                <c:pt idx="21">
                  <c:v>137</c:v>
                </c:pt>
                <c:pt idx="22">
                  <c:v>119</c:v>
                </c:pt>
                <c:pt idx="23">
                  <c:v>114</c:v>
                </c:pt>
                <c:pt idx="24">
                  <c:v>125</c:v>
                </c:pt>
                <c:pt idx="25">
                  <c:v>125</c:v>
                </c:pt>
                <c:pt idx="26">
                  <c:v>127</c:v>
                </c:pt>
              </c:numCache>
            </c:numRef>
          </c:val>
          <c:smooth val="0"/>
          <c:extLst>
            <c:ext xmlns:c16="http://schemas.microsoft.com/office/drawing/2014/chart" uri="{C3380CC4-5D6E-409C-BE32-E72D297353CC}">
              <c16:uniqueId val="{00000000-963C-4A3E-89B7-4EB041DE2302}"/>
            </c:ext>
          </c:extLst>
        </c:ser>
        <c:ser>
          <c:idx val="1"/>
          <c:order val="1"/>
          <c:tx>
            <c:strRef>
              <c:f>Overall!$S$55:$S$56</c:f>
              <c:strCache>
                <c:ptCount val="1"/>
                <c:pt idx="0">
                  <c:v>ONASEMNOGENE ABEPARVOVEC</c:v>
                </c:pt>
              </c:strCache>
            </c:strRef>
          </c:tx>
          <c:spPr>
            <a:ln w="28575" cap="rnd">
              <a:solidFill>
                <a:schemeClr val="accent2"/>
              </a:solidFill>
              <a:round/>
            </a:ln>
            <a:effectLst/>
          </c:spPr>
          <c:marker>
            <c:symbol val="none"/>
          </c:marker>
          <c:cat>
            <c:strRef>
              <c:f>Overall!$Q$57:$Q$84</c:f>
              <c:strCache>
                <c:ptCount val="27"/>
                <c:pt idx="0">
                  <c:v>2018Q2</c:v>
                </c:pt>
                <c:pt idx="1">
                  <c:v>2018Q3</c:v>
                </c:pt>
                <c:pt idx="2">
                  <c:v>2018Q4</c:v>
                </c:pt>
                <c:pt idx="3">
                  <c:v>2019Q1</c:v>
                </c:pt>
                <c:pt idx="4">
                  <c:v>2019Q2</c:v>
                </c:pt>
                <c:pt idx="5">
                  <c:v>2019Q3</c:v>
                </c:pt>
                <c:pt idx="6">
                  <c:v>2019Q4</c:v>
                </c:pt>
                <c:pt idx="7">
                  <c:v>2020Q1</c:v>
                </c:pt>
                <c:pt idx="8">
                  <c:v>2020Q2</c:v>
                </c:pt>
                <c:pt idx="9">
                  <c:v>2020Q3</c:v>
                </c:pt>
                <c:pt idx="10">
                  <c:v>2020Q4</c:v>
                </c:pt>
                <c:pt idx="11">
                  <c:v>2021Q1</c:v>
                </c:pt>
                <c:pt idx="12">
                  <c:v>2021Q2</c:v>
                </c:pt>
                <c:pt idx="13">
                  <c:v>2021Q3</c:v>
                </c:pt>
                <c:pt idx="14">
                  <c:v>2021Q4</c:v>
                </c:pt>
                <c:pt idx="15">
                  <c:v>2022Q1</c:v>
                </c:pt>
                <c:pt idx="16">
                  <c:v>2022Q2</c:v>
                </c:pt>
                <c:pt idx="17">
                  <c:v>2022Q3</c:v>
                </c:pt>
                <c:pt idx="18">
                  <c:v>2022Q4</c:v>
                </c:pt>
                <c:pt idx="19">
                  <c:v>2023Q1</c:v>
                </c:pt>
                <c:pt idx="20">
                  <c:v>2023Q2</c:v>
                </c:pt>
                <c:pt idx="21">
                  <c:v>2023Q3</c:v>
                </c:pt>
                <c:pt idx="22">
                  <c:v>2023Q4</c:v>
                </c:pt>
                <c:pt idx="23">
                  <c:v>2024Q1</c:v>
                </c:pt>
                <c:pt idx="24">
                  <c:v>2024Q2</c:v>
                </c:pt>
                <c:pt idx="25">
                  <c:v>2024Q3</c:v>
                </c:pt>
                <c:pt idx="26">
                  <c:v>2024Q4</c:v>
                </c:pt>
              </c:strCache>
            </c:strRef>
          </c:cat>
          <c:val>
            <c:numRef>
              <c:f>Overall!$S$57:$S$84</c:f>
              <c:numCache>
                <c:formatCode>General</c:formatCode>
                <c:ptCount val="27"/>
                <c:pt idx="16">
                  <c:v>5</c:v>
                </c:pt>
                <c:pt idx="17">
                  <c:v>5</c:v>
                </c:pt>
                <c:pt idx="18">
                  <c:v>5</c:v>
                </c:pt>
                <c:pt idx="19">
                  <c:v>6</c:v>
                </c:pt>
                <c:pt idx="21">
                  <c:v>5</c:v>
                </c:pt>
                <c:pt idx="22">
                  <c:v>5</c:v>
                </c:pt>
                <c:pt idx="23">
                  <c:v>5</c:v>
                </c:pt>
                <c:pt idx="24">
                  <c:v>5</c:v>
                </c:pt>
                <c:pt idx="25">
                  <c:v>5</c:v>
                </c:pt>
                <c:pt idx="26">
                  <c:v>5</c:v>
                </c:pt>
              </c:numCache>
            </c:numRef>
          </c:val>
          <c:smooth val="0"/>
          <c:extLst>
            <c:ext xmlns:c16="http://schemas.microsoft.com/office/drawing/2014/chart" uri="{C3380CC4-5D6E-409C-BE32-E72D297353CC}">
              <c16:uniqueId val="{00000001-963C-4A3E-89B7-4EB041DE2302}"/>
            </c:ext>
          </c:extLst>
        </c:ser>
        <c:ser>
          <c:idx val="2"/>
          <c:order val="2"/>
          <c:tx>
            <c:strRef>
              <c:f>Overall!$T$55:$T$56</c:f>
              <c:strCache>
                <c:ptCount val="1"/>
                <c:pt idx="0">
                  <c:v>RISDIPLAM</c:v>
                </c:pt>
              </c:strCache>
            </c:strRef>
          </c:tx>
          <c:spPr>
            <a:ln w="28575" cap="rnd">
              <a:solidFill>
                <a:schemeClr val="accent3"/>
              </a:solidFill>
              <a:round/>
            </a:ln>
            <a:effectLst/>
          </c:spPr>
          <c:marker>
            <c:symbol val="none"/>
          </c:marker>
          <c:cat>
            <c:strRef>
              <c:f>Overall!$Q$57:$Q$84</c:f>
              <c:strCache>
                <c:ptCount val="27"/>
                <c:pt idx="0">
                  <c:v>2018Q2</c:v>
                </c:pt>
                <c:pt idx="1">
                  <c:v>2018Q3</c:v>
                </c:pt>
                <c:pt idx="2">
                  <c:v>2018Q4</c:v>
                </c:pt>
                <c:pt idx="3">
                  <c:v>2019Q1</c:v>
                </c:pt>
                <c:pt idx="4">
                  <c:v>2019Q2</c:v>
                </c:pt>
                <c:pt idx="5">
                  <c:v>2019Q3</c:v>
                </c:pt>
                <c:pt idx="6">
                  <c:v>2019Q4</c:v>
                </c:pt>
                <c:pt idx="7">
                  <c:v>2020Q1</c:v>
                </c:pt>
                <c:pt idx="8">
                  <c:v>2020Q2</c:v>
                </c:pt>
                <c:pt idx="9">
                  <c:v>2020Q3</c:v>
                </c:pt>
                <c:pt idx="10">
                  <c:v>2020Q4</c:v>
                </c:pt>
                <c:pt idx="11">
                  <c:v>2021Q1</c:v>
                </c:pt>
                <c:pt idx="12">
                  <c:v>2021Q2</c:v>
                </c:pt>
                <c:pt idx="13">
                  <c:v>2021Q3</c:v>
                </c:pt>
                <c:pt idx="14">
                  <c:v>2021Q4</c:v>
                </c:pt>
                <c:pt idx="15">
                  <c:v>2022Q1</c:v>
                </c:pt>
                <c:pt idx="16">
                  <c:v>2022Q2</c:v>
                </c:pt>
                <c:pt idx="17">
                  <c:v>2022Q3</c:v>
                </c:pt>
                <c:pt idx="18">
                  <c:v>2022Q4</c:v>
                </c:pt>
                <c:pt idx="19">
                  <c:v>2023Q1</c:v>
                </c:pt>
                <c:pt idx="20">
                  <c:v>2023Q2</c:v>
                </c:pt>
                <c:pt idx="21">
                  <c:v>2023Q3</c:v>
                </c:pt>
                <c:pt idx="22">
                  <c:v>2023Q4</c:v>
                </c:pt>
                <c:pt idx="23">
                  <c:v>2024Q1</c:v>
                </c:pt>
                <c:pt idx="24">
                  <c:v>2024Q2</c:v>
                </c:pt>
                <c:pt idx="25">
                  <c:v>2024Q3</c:v>
                </c:pt>
                <c:pt idx="26">
                  <c:v>2024Q4</c:v>
                </c:pt>
              </c:strCache>
            </c:strRef>
          </c:cat>
          <c:val>
            <c:numRef>
              <c:f>Overall!$T$57:$T$84</c:f>
              <c:numCache>
                <c:formatCode>General</c:formatCode>
                <c:ptCount val="27"/>
                <c:pt idx="13">
                  <c:v>25</c:v>
                </c:pt>
                <c:pt idx="14">
                  <c:v>54</c:v>
                </c:pt>
                <c:pt idx="15">
                  <c:v>58</c:v>
                </c:pt>
                <c:pt idx="16">
                  <c:v>67</c:v>
                </c:pt>
                <c:pt idx="17">
                  <c:v>75</c:v>
                </c:pt>
                <c:pt idx="18">
                  <c:v>76</c:v>
                </c:pt>
                <c:pt idx="19">
                  <c:v>78</c:v>
                </c:pt>
                <c:pt idx="20">
                  <c:v>84</c:v>
                </c:pt>
                <c:pt idx="21">
                  <c:v>84</c:v>
                </c:pt>
                <c:pt idx="22">
                  <c:v>120</c:v>
                </c:pt>
                <c:pt idx="23">
                  <c:v>143</c:v>
                </c:pt>
                <c:pt idx="24">
                  <c:v>151</c:v>
                </c:pt>
                <c:pt idx="25">
                  <c:v>149</c:v>
                </c:pt>
                <c:pt idx="26">
                  <c:v>155</c:v>
                </c:pt>
              </c:numCache>
            </c:numRef>
          </c:val>
          <c:smooth val="0"/>
          <c:extLst>
            <c:ext xmlns:c16="http://schemas.microsoft.com/office/drawing/2014/chart" uri="{C3380CC4-5D6E-409C-BE32-E72D297353CC}">
              <c16:uniqueId val="{00000002-963C-4A3E-89B7-4EB041DE2302}"/>
            </c:ext>
          </c:extLst>
        </c:ser>
        <c:dLbls>
          <c:showLegendKey val="0"/>
          <c:showVal val="0"/>
          <c:showCatName val="0"/>
          <c:showSerName val="0"/>
          <c:showPercent val="0"/>
          <c:showBubbleSize val="0"/>
        </c:dLbls>
        <c:smooth val="0"/>
        <c:axId val="1054183488"/>
        <c:axId val="1054184568"/>
      </c:lineChart>
      <c:catAx>
        <c:axId val="105418348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184568"/>
        <c:crosses val="autoZero"/>
        <c:auto val="1"/>
        <c:lblAlgn val="ctr"/>
        <c:lblOffset val="100"/>
        <c:noMultiLvlLbl val="0"/>
      </c:catAx>
      <c:valAx>
        <c:axId val="10541845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1834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[nusinsersen review.xlsx]childadult!PivotTable1</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childadult!$Q$1:$Q$2</c:f>
              <c:strCache>
                <c:ptCount val="1"/>
                <c:pt idx="0">
                  <c:v>Adults with SMA</c:v>
                </c:pt>
              </c:strCache>
            </c:strRef>
          </c:tx>
          <c:spPr>
            <a:ln w="28575" cap="rnd">
              <a:solidFill>
                <a:schemeClr val="accent1"/>
              </a:solidFill>
              <a:round/>
            </a:ln>
            <a:effectLst/>
          </c:spPr>
          <c:marker>
            <c:symbol val="none"/>
          </c:marker>
          <c:cat>
            <c:strRef>
              <c:f>childadult!$P$3:$P$30</c:f>
              <c:strCache>
                <c:ptCount val="27"/>
                <c:pt idx="0">
                  <c:v>2018Q2</c:v>
                </c:pt>
                <c:pt idx="1">
                  <c:v>2018Q3</c:v>
                </c:pt>
                <c:pt idx="2">
                  <c:v>2018Q4</c:v>
                </c:pt>
                <c:pt idx="3">
                  <c:v>2019Q1</c:v>
                </c:pt>
                <c:pt idx="4">
                  <c:v>2019Q2</c:v>
                </c:pt>
                <c:pt idx="5">
                  <c:v>2019Q3</c:v>
                </c:pt>
                <c:pt idx="6">
                  <c:v>2019Q4</c:v>
                </c:pt>
                <c:pt idx="7">
                  <c:v>2020Q1</c:v>
                </c:pt>
                <c:pt idx="8">
                  <c:v>2020Q2</c:v>
                </c:pt>
                <c:pt idx="9">
                  <c:v>2020Q3</c:v>
                </c:pt>
                <c:pt idx="10">
                  <c:v>2020Q4</c:v>
                </c:pt>
                <c:pt idx="11">
                  <c:v>2021Q1</c:v>
                </c:pt>
                <c:pt idx="12">
                  <c:v>2021Q2</c:v>
                </c:pt>
                <c:pt idx="13">
                  <c:v>2021Q3</c:v>
                </c:pt>
                <c:pt idx="14">
                  <c:v>2021Q4</c:v>
                </c:pt>
                <c:pt idx="15">
                  <c:v>2022Q1</c:v>
                </c:pt>
                <c:pt idx="16">
                  <c:v>2022Q2</c:v>
                </c:pt>
                <c:pt idx="17">
                  <c:v>2022Q3</c:v>
                </c:pt>
                <c:pt idx="18">
                  <c:v>2022Q4</c:v>
                </c:pt>
                <c:pt idx="19">
                  <c:v>2023Q1</c:v>
                </c:pt>
                <c:pt idx="20">
                  <c:v>2023Q2</c:v>
                </c:pt>
                <c:pt idx="21">
                  <c:v>2023Q3</c:v>
                </c:pt>
                <c:pt idx="22">
                  <c:v>2023Q4</c:v>
                </c:pt>
                <c:pt idx="23">
                  <c:v>2024Q1</c:v>
                </c:pt>
                <c:pt idx="24">
                  <c:v>2024Q2</c:v>
                </c:pt>
                <c:pt idx="25">
                  <c:v>2024Q3</c:v>
                </c:pt>
                <c:pt idx="26">
                  <c:v>2024Q4</c:v>
                </c:pt>
              </c:strCache>
            </c:strRef>
          </c:cat>
          <c:val>
            <c:numRef>
              <c:f>childadult!$Q$3:$Q$30</c:f>
              <c:numCache>
                <c:formatCode>General</c:formatCode>
                <c:ptCount val="27"/>
                <c:pt idx="17">
                  <c:v>19</c:v>
                </c:pt>
                <c:pt idx="18">
                  <c:v>50</c:v>
                </c:pt>
                <c:pt idx="19">
                  <c:v>60</c:v>
                </c:pt>
                <c:pt idx="20">
                  <c:v>54</c:v>
                </c:pt>
                <c:pt idx="21">
                  <c:v>62</c:v>
                </c:pt>
                <c:pt idx="22">
                  <c:v>92</c:v>
                </c:pt>
                <c:pt idx="23">
                  <c:v>99</c:v>
                </c:pt>
                <c:pt idx="24">
                  <c:v>110</c:v>
                </c:pt>
                <c:pt idx="25">
                  <c:v>118</c:v>
                </c:pt>
                <c:pt idx="26">
                  <c:v>116</c:v>
                </c:pt>
              </c:numCache>
            </c:numRef>
          </c:val>
          <c:smooth val="0"/>
          <c:extLst>
            <c:ext xmlns:c16="http://schemas.microsoft.com/office/drawing/2014/chart" uri="{C3380CC4-5D6E-409C-BE32-E72D297353CC}">
              <c16:uniqueId val="{00000000-3FB4-42D9-8D3E-C82F923557FF}"/>
            </c:ext>
          </c:extLst>
        </c:ser>
        <c:ser>
          <c:idx val="1"/>
          <c:order val="1"/>
          <c:tx>
            <c:strRef>
              <c:f>childadult!$R$1:$R$2</c:f>
              <c:strCache>
                <c:ptCount val="1"/>
                <c:pt idx="0">
                  <c:v>Children with SMA</c:v>
                </c:pt>
              </c:strCache>
            </c:strRef>
          </c:tx>
          <c:spPr>
            <a:ln w="28575" cap="rnd">
              <a:solidFill>
                <a:schemeClr val="accent2"/>
              </a:solidFill>
              <a:round/>
            </a:ln>
            <a:effectLst/>
          </c:spPr>
          <c:marker>
            <c:symbol val="none"/>
          </c:marker>
          <c:cat>
            <c:strRef>
              <c:f>childadult!$P$3:$P$30</c:f>
              <c:strCache>
                <c:ptCount val="27"/>
                <c:pt idx="0">
                  <c:v>2018Q2</c:v>
                </c:pt>
                <c:pt idx="1">
                  <c:v>2018Q3</c:v>
                </c:pt>
                <c:pt idx="2">
                  <c:v>2018Q4</c:v>
                </c:pt>
                <c:pt idx="3">
                  <c:v>2019Q1</c:v>
                </c:pt>
                <c:pt idx="4">
                  <c:v>2019Q2</c:v>
                </c:pt>
                <c:pt idx="5">
                  <c:v>2019Q3</c:v>
                </c:pt>
                <c:pt idx="6">
                  <c:v>2019Q4</c:v>
                </c:pt>
                <c:pt idx="7">
                  <c:v>2020Q1</c:v>
                </c:pt>
                <c:pt idx="8">
                  <c:v>2020Q2</c:v>
                </c:pt>
                <c:pt idx="9">
                  <c:v>2020Q3</c:v>
                </c:pt>
                <c:pt idx="10">
                  <c:v>2020Q4</c:v>
                </c:pt>
                <c:pt idx="11">
                  <c:v>2021Q1</c:v>
                </c:pt>
                <c:pt idx="12">
                  <c:v>2021Q2</c:v>
                </c:pt>
                <c:pt idx="13">
                  <c:v>2021Q3</c:v>
                </c:pt>
                <c:pt idx="14">
                  <c:v>2021Q4</c:v>
                </c:pt>
                <c:pt idx="15">
                  <c:v>2022Q1</c:v>
                </c:pt>
                <c:pt idx="16">
                  <c:v>2022Q2</c:v>
                </c:pt>
                <c:pt idx="17">
                  <c:v>2022Q3</c:v>
                </c:pt>
                <c:pt idx="18">
                  <c:v>2022Q4</c:v>
                </c:pt>
                <c:pt idx="19">
                  <c:v>2023Q1</c:v>
                </c:pt>
                <c:pt idx="20">
                  <c:v>2023Q2</c:v>
                </c:pt>
                <c:pt idx="21">
                  <c:v>2023Q3</c:v>
                </c:pt>
                <c:pt idx="22">
                  <c:v>2023Q4</c:v>
                </c:pt>
                <c:pt idx="23">
                  <c:v>2024Q1</c:v>
                </c:pt>
                <c:pt idx="24">
                  <c:v>2024Q2</c:v>
                </c:pt>
                <c:pt idx="25">
                  <c:v>2024Q3</c:v>
                </c:pt>
                <c:pt idx="26">
                  <c:v>2024Q4</c:v>
                </c:pt>
              </c:strCache>
            </c:strRef>
          </c:cat>
          <c:val>
            <c:numRef>
              <c:f>childadult!$R$3:$R$30</c:f>
              <c:numCache>
                <c:formatCode>General</c:formatCode>
                <c:ptCount val="27"/>
                <c:pt idx="0">
                  <c:v>43</c:v>
                </c:pt>
                <c:pt idx="1">
                  <c:v>90</c:v>
                </c:pt>
                <c:pt idx="2">
                  <c:v>94</c:v>
                </c:pt>
                <c:pt idx="3">
                  <c:v>91</c:v>
                </c:pt>
                <c:pt idx="4">
                  <c:v>112</c:v>
                </c:pt>
                <c:pt idx="5">
                  <c:v>128</c:v>
                </c:pt>
                <c:pt idx="6">
                  <c:v>104</c:v>
                </c:pt>
                <c:pt idx="7">
                  <c:v>119</c:v>
                </c:pt>
                <c:pt idx="8">
                  <c:v>118</c:v>
                </c:pt>
                <c:pt idx="9">
                  <c:v>125</c:v>
                </c:pt>
                <c:pt idx="10">
                  <c:v>104</c:v>
                </c:pt>
                <c:pt idx="11">
                  <c:v>116</c:v>
                </c:pt>
                <c:pt idx="12">
                  <c:v>120</c:v>
                </c:pt>
                <c:pt idx="13">
                  <c:v>126</c:v>
                </c:pt>
                <c:pt idx="14">
                  <c:v>136</c:v>
                </c:pt>
                <c:pt idx="15">
                  <c:v>130</c:v>
                </c:pt>
                <c:pt idx="16">
                  <c:v>155</c:v>
                </c:pt>
                <c:pt idx="17">
                  <c:v>147</c:v>
                </c:pt>
                <c:pt idx="18">
                  <c:v>145</c:v>
                </c:pt>
                <c:pt idx="19">
                  <c:v>161</c:v>
                </c:pt>
                <c:pt idx="20">
                  <c:v>158</c:v>
                </c:pt>
                <c:pt idx="21">
                  <c:v>159</c:v>
                </c:pt>
                <c:pt idx="22">
                  <c:v>149</c:v>
                </c:pt>
                <c:pt idx="23">
                  <c:v>159</c:v>
                </c:pt>
                <c:pt idx="24">
                  <c:v>166</c:v>
                </c:pt>
                <c:pt idx="25">
                  <c:v>159</c:v>
                </c:pt>
                <c:pt idx="26">
                  <c:v>168</c:v>
                </c:pt>
              </c:numCache>
            </c:numRef>
          </c:val>
          <c:smooth val="0"/>
          <c:extLst>
            <c:ext xmlns:c16="http://schemas.microsoft.com/office/drawing/2014/chart" uri="{C3380CC4-5D6E-409C-BE32-E72D297353CC}">
              <c16:uniqueId val="{00000001-3FB4-42D9-8D3E-C82F923557FF}"/>
            </c:ext>
          </c:extLst>
        </c:ser>
        <c:dLbls>
          <c:showLegendKey val="0"/>
          <c:showVal val="0"/>
          <c:showCatName val="0"/>
          <c:showSerName val="0"/>
          <c:showPercent val="0"/>
          <c:showBubbleSize val="0"/>
        </c:dLbls>
        <c:smooth val="0"/>
        <c:axId val="1179505456"/>
        <c:axId val="1179509776"/>
      </c:lineChart>
      <c:catAx>
        <c:axId val="1179505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509776"/>
        <c:crosses val="autoZero"/>
        <c:auto val="1"/>
        <c:lblAlgn val="ctr"/>
        <c:lblOffset val="100"/>
        <c:noMultiLvlLbl val="0"/>
      </c:catAx>
      <c:valAx>
        <c:axId val="11795097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treated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795054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[nusinsersen review.xlsx]Nusinersen_adults!PivotTable4</c:name>
    <c:fmtId val="-1"/>
  </c:pivotSource>
  <c:chart>
    <c:autoTitleDeleted val="0"/>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Nusinersen_adults!$S$14</c:f>
              <c:strCache>
                <c:ptCount val="1"/>
                <c:pt idx="0">
                  <c:v>Initiating patients</c:v>
                </c:pt>
              </c:strCache>
            </c:strRef>
          </c:tx>
          <c:spPr>
            <a:ln w="28575" cap="rnd">
              <a:solidFill>
                <a:schemeClr val="accent1"/>
              </a:solidFill>
              <a:round/>
            </a:ln>
            <a:effectLst/>
          </c:spPr>
          <c:marker>
            <c:symbol val="none"/>
          </c:marker>
          <c:cat>
            <c:strRef>
              <c:f>Nusinersen_adults!$R$15:$R$25</c:f>
              <c:strCache>
                <c:ptCount val="10"/>
                <c:pt idx="0">
                  <c:v>2022Q3</c:v>
                </c:pt>
                <c:pt idx="1">
                  <c:v>2022Q4</c:v>
                </c:pt>
                <c:pt idx="2">
                  <c:v>2023Q1</c:v>
                </c:pt>
                <c:pt idx="3">
                  <c:v>2023Q2</c:v>
                </c:pt>
                <c:pt idx="4">
                  <c:v>2023Q3</c:v>
                </c:pt>
                <c:pt idx="5">
                  <c:v>2023Q4</c:v>
                </c:pt>
                <c:pt idx="6">
                  <c:v>2024Q1</c:v>
                </c:pt>
                <c:pt idx="7">
                  <c:v>2024Q2</c:v>
                </c:pt>
                <c:pt idx="8">
                  <c:v>2024Q3</c:v>
                </c:pt>
                <c:pt idx="9">
                  <c:v>2024Q4</c:v>
                </c:pt>
              </c:strCache>
            </c:strRef>
          </c:cat>
          <c:val>
            <c:numRef>
              <c:f>Nusinersen_adults!$S$15:$S$25</c:f>
              <c:numCache>
                <c:formatCode>General</c:formatCode>
                <c:ptCount val="10"/>
                <c:pt idx="0">
                  <c:v>19</c:v>
                </c:pt>
                <c:pt idx="1">
                  <c:v>38</c:v>
                </c:pt>
                <c:pt idx="2">
                  <c:v>19</c:v>
                </c:pt>
                <c:pt idx="3">
                  <c:v>7</c:v>
                </c:pt>
                <c:pt idx="4">
                  <c:v>9</c:v>
                </c:pt>
                <c:pt idx="5">
                  <c:v>5</c:v>
                </c:pt>
                <c:pt idx="6">
                  <c:v>6</c:v>
                </c:pt>
                <c:pt idx="7">
                  <c:v>5</c:v>
                </c:pt>
                <c:pt idx="8">
                  <c:v>5</c:v>
                </c:pt>
                <c:pt idx="9">
                  <c:v>5</c:v>
                </c:pt>
              </c:numCache>
            </c:numRef>
          </c:val>
          <c:smooth val="0"/>
          <c:extLst>
            <c:ext xmlns:c16="http://schemas.microsoft.com/office/drawing/2014/chart" uri="{C3380CC4-5D6E-409C-BE32-E72D297353CC}">
              <c16:uniqueId val="{00000000-C6FE-4C16-A7AA-1A4FD8891EC3}"/>
            </c:ext>
          </c:extLst>
        </c:ser>
        <c:ser>
          <c:idx val="1"/>
          <c:order val="1"/>
          <c:tx>
            <c:strRef>
              <c:f>Nusinersen_adults!$T$14</c:f>
              <c:strCache>
                <c:ptCount val="1"/>
                <c:pt idx="0">
                  <c:v>Prevalent patients </c:v>
                </c:pt>
              </c:strCache>
            </c:strRef>
          </c:tx>
          <c:spPr>
            <a:ln w="28575" cap="rnd">
              <a:solidFill>
                <a:schemeClr val="accent2"/>
              </a:solidFill>
              <a:round/>
            </a:ln>
            <a:effectLst/>
          </c:spPr>
          <c:marker>
            <c:symbol val="none"/>
          </c:marker>
          <c:cat>
            <c:strRef>
              <c:f>Nusinersen_adults!$R$15:$R$25</c:f>
              <c:strCache>
                <c:ptCount val="10"/>
                <c:pt idx="0">
                  <c:v>2022Q3</c:v>
                </c:pt>
                <c:pt idx="1">
                  <c:v>2022Q4</c:v>
                </c:pt>
                <c:pt idx="2">
                  <c:v>2023Q1</c:v>
                </c:pt>
                <c:pt idx="3">
                  <c:v>2023Q2</c:v>
                </c:pt>
                <c:pt idx="4">
                  <c:v>2023Q3</c:v>
                </c:pt>
                <c:pt idx="5">
                  <c:v>2023Q4</c:v>
                </c:pt>
                <c:pt idx="6">
                  <c:v>2024Q1</c:v>
                </c:pt>
                <c:pt idx="7">
                  <c:v>2024Q2</c:v>
                </c:pt>
                <c:pt idx="8">
                  <c:v>2024Q3</c:v>
                </c:pt>
                <c:pt idx="9">
                  <c:v>2024Q4</c:v>
                </c:pt>
              </c:strCache>
            </c:strRef>
          </c:cat>
          <c:val>
            <c:numRef>
              <c:f>Nusinersen_adults!$T$15:$T$25</c:f>
              <c:numCache>
                <c:formatCode>General</c:formatCode>
                <c:ptCount val="10"/>
                <c:pt idx="0">
                  <c:v>19</c:v>
                </c:pt>
                <c:pt idx="1">
                  <c:v>50</c:v>
                </c:pt>
                <c:pt idx="2">
                  <c:v>60</c:v>
                </c:pt>
                <c:pt idx="3">
                  <c:v>54</c:v>
                </c:pt>
                <c:pt idx="4">
                  <c:v>62</c:v>
                </c:pt>
                <c:pt idx="5">
                  <c:v>60</c:v>
                </c:pt>
                <c:pt idx="6">
                  <c:v>49</c:v>
                </c:pt>
                <c:pt idx="7">
                  <c:v>50</c:v>
                </c:pt>
                <c:pt idx="8">
                  <c:v>58</c:v>
                </c:pt>
                <c:pt idx="9">
                  <c:v>52</c:v>
                </c:pt>
              </c:numCache>
            </c:numRef>
          </c:val>
          <c:smooth val="0"/>
          <c:extLst>
            <c:ext xmlns:c16="http://schemas.microsoft.com/office/drawing/2014/chart" uri="{C3380CC4-5D6E-409C-BE32-E72D297353CC}">
              <c16:uniqueId val="{00000001-C6FE-4C16-A7AA-1A4FD8891EC3}"/>
            </c:ext>
          </c:extLst>
        </c:ser>
        <c:dLbls>
          <c:showLegendKey val="0"/>
          <c:showVal val="0"/>
          <c:showCatName val="0"/>
          <c:showSerName val="0"/>
          <c:showPercent val="0"/>
          <c:showBubbleSize val="0"/>
        </c:dLbls>
        <c:smooth val="0"/>
        <c:axId val="1024572576"/>
        <c:axId val="1024571496"/>
      </c:lineChart>
      <c:catAx>
        <c:axId val="1024572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4571496"/>
        <c:crosses val="autoZero"/>
        <c:auto val="1"/>
        <c:lblAlgn val="ctr"/>
        <c:lblOffset val="100"/>
        <c:noMultiLvlLbl val="0"/>
      </c:catAx>
      <c:valAx>
        <c:axId val="1024571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treated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24572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[nusinsersen review.xlsx]Nusinersen_adults!PivotTable11</c:name>
    <c:fmtId val="-1"/>
  </c:pivotSource>
  <c:chart>
    <c:autoTitleDeleted val="1"/>
    <c:pivotFmts>
      <c:pivotFmt>
        <c:idx val="0"/>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Nusinersen_adults!$S$32</c:f>
              <c:strCache>
                <c:ptCount val="1"/>
                <c:pt idx="0">
                  <c:v>Total</c:v>
                </c:pt>
              </c:strCache>
            </c:strRef>
          </c:tx>
          <c:spPr>
            <a:ln w="28575" cap="rnd">
              <a:solidFill>
                <a:schemeClr val="accent1"/>
              </a:solidFill>
              <a:round/>
            </a:ln>
            <a:effectLst/>
          </c:spPr>
          <c:marker>
            <c:symbol val="none"/>
          </c:marker>
          <c:cat>
            <c:strRef>
              <c:f>Nusinersen_adults!$R$33:$R$43</c:f>
              <c:strCache>
                <c:ptCount val="10"/>
                <c:pt idx="0">
                  <c:v>2022Q3</c:v>
                </c:pt>
                <c:pt idx="1">
                  <c:v>2022Q4</c:v>
                </c:pt>
                <c:pt idx="2">
                  <c:v>2023Q1</c:v>
                </c:pt>
                <c:pt idx="3">
                  <c:v>2023Q2</c:v>
                </c:pt>
                <c:pt idx="4">
                  <c:v>2023Q3</c:v>
                </c:pt>
                <c:pt idx="5">
                  <c:v>2023Q4</c:v>
                </c:pt>
                <c:pt idx="6">
                  <c:v>2024Q1</c:v>
                </c:pt>
                <c:pt idx="7">
                  <c:v>2024Q2</c:v>
                </c:pt>
                <c:pt idx="8">
                  <c:v>2024Q3</c:v>
                </c:pt>
                <c:pt idx="9">
                  <c:v>2024Q4</c:v>
                </c:pt>
              </c:strCache>
            </c:strRef>
          </c:cat>
          <c:val>
            <c:numRef>
              <c:f>Nusinersen_adults!$S$33:$S$43</c:f>
              <c:numCache>
                <c:formatCode>General</c:formatCode>
                <c:ptCount val="10"/>
                <c:pt idx="0">
                  <c:v>22</c:v>
                </c:pt>
                <c:pt idx="1">
                  <c:v>84</c:v>
                </c:pt>
                <c:pt idx="2">
                  <c:v>97</c:v>
                </c:pt>
                <c:pt idx="3">
                  <c:v>65</c:v>
                </c:pt>
                <c:pt idx="4">
                  <c:v>83</c:v>
                </c:pt>
                <c:pt idx="5">
                  <c:v>69</c:v>
                </c:pt>
                <c:pt idx="6">
                  <c:v>58</c:v>
                </c:pt>
                <c:pt idx="7">
                  <c:v>51</c:v>
                </c:pt>
                <c:pt idx="8">
                  <c:v>69</c:v>
                </c:pt>
                <c:pt idx="9">
                  <c:v>52</c:v>
                </c:pt>
              </c:numCache>
            </c:numRef>
          </c:val>
          <c:smooth val="0"/>
          <c:extLst>
            <c:ext xmlns:c16="http://schemas.microsoft.com/office/drawing/2014/chart" uri="{C3380CC4-5D6E-409C-BE32-E72D297353CC}">
              <c16:uniqueId val="{00000000-2D5C-425E-A0BF-6528DFE17F36}"/>
            </c:ext>
          </c:extLst>
        </c:ser>
        <c:dLbls>
          <c:showLegendKey val="0"/>
          <c:showVal val="0"/>
          <c:showCatName val="0"/>
          <c:showSerName val="0"/>
          <c:showPercent val="0"/>
          <c:showBubbleSize val="0"/>
        </c:dLbls>
        <c:smooth val="0"/>
        <c:axId val="383954608"/>
        <c:axId val="383952088"/>
      </c:lineChart>
      <c:catAx>
        <c:axId val="3839546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952088"/>
        <c:crosses val="autoZero"/>
        <c:auto val="1"/>
        <c:lblAlgn val="ctr"/>
        <c:lblOffset val="100"/>
        <c:noMultiLvlLbl val="0"/>
      </c:catAx>
      <c:valAx>
        <c:axId val="3839520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Prescriptions supplied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395460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[nusinsersen review.xlsx]nusi age gender!PivotTable18</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'nusi age gender'!$J$49:$J$50</c:f>
              <c:strCache>
                <c:ptCount val="1"/>
                <c:pt idx="0">
                  <c:v>Female</c:v>
                </c:pt>
              </c:strCache>
            </c:strRef>
          </c:tx>
          <c:spPr>
            <a:solidFill>
              <a:schemeClr val="accent1"/>
            </a:solidFill>
            <a:ln>
              <a:noFill/>
            </a:ln>
            <a:effectLst/>
          </c:spPr>
          <c:invertIfNegative val="0"/>
          <c:cat>
            <c:strRef>
              <c:f>'nusi age gender'!$I$51:$I$55</c:f>
              <c:strCache>
                <c:ptCount val="4"/>
                <c:pt idx="0">
                  <c:v>19-29 yrs</c:v>
                </c:pt>
                <c:pt idx="1">
                  <c:v>30-39 yrs</c:v>
                </c:pt>
                <c:pt idx="2">
                  <c:v>40-49 yrs</c:v>
                </c:pt>
                <c:pt idx="3">
                  <c:v>50+ yrs</c:v>
                </c:pt>
              </c:strCache>
            </c:strRef>
          </c:cat>
          <c:val>
            <c:numRef>
              <c:f>'nusi age gender'!$J$51:$J$55</c:f>
              <c:numCache>
                <c:formatCode>General</c:formatCode>
                <c:ptCount val="4"/>
                <c:pt idx="0">
                  <c:v>8</c:v>
                </c:pt>
                <c:pt idx="1">
                  <c:v>16</c:v>
                </c:pt>
                <c:pt idx="2">
                  <c:v>12</c:v>
                </c:pt>
                <c:pt idx="3">
                  <c:v>16</c:v>
                </c:pt>
              </c:numCache>
            </c:numRef>
          </c:val>
          <c:extLst>
            <c:ext xmlns:c16="http://schemas.microsoft.com/office/drawing/2014/chart" uri="{C3380CC4-5D6E-409C-BE32-E72D297353CC}">
              <c16:uniqueId val="{00000000-BB06-43C2-84D7-54237FE150AB}"/>
            </c:ext>
          </c:extLst>
        </c:ser>
        <c:ser>
          <c:idx val="1"/>
          <c:order val="1"/>
          <c:tx>
            <c:strRef>
              <c:f>'nusi age gender'!$K$49:$K$50</c:f>
              <c:strCache>
                <c:ptCount val="1"/>
                <c:pt idx="0">
                  <c:v>Male</c:v>
                </c:pt>
              </c:strCache>
            </c:strRef>
          </c:tx>
          <c:spPr>
            <a:solidFill>
              <a:schemeClr val="accent2"/>
            </a:solidFill>
            <a:ln>
              <a:noFill/>
            </a:ln>
            <a:effectLst/>
          </c:spPr>
          <c:invertIfNegative val="0"/>
          <c:cat>
            <c:strRef>
              <c:f>'nusi age gender'!$I$51:$I$55</c:f>
              <c:strCache>
                <c:ptCount val="4"/>
                <c:pt idx="0">
                  <c:v>19-29 yrs</c:v>
                </c:pt>
                <c:pt idx="1">
                  <c:v>30-39 yrs</c:v>
                </c:pt>
                <c:pt idx="2">
                  <c:v>40-49 yrs</c:v>
                </c:pt>
                <c:pt idx="3">
                  <c:v>50+ yrs</c:v>
                </c:pt>
              </c:strCache>
            </c:strRef>
          </c:cat>
          <c:val>
            <c:numRef>
              <c:f>'nusi age gender'!$K$51:$K$55</c:f>
              <c:numCache>
                <c:formatCode>General</c:formatCode>
                <c:ptCount val="4"/>
                <c:pt idx="0">
                  <c:v>19</c:v>
                </c:pt>
                <c:pt idx="1">
                  <c:v>15</c:v>
                </c:pt>
                <c:pt idx="2">
                  <c:v>10</c:v>
                </c:pt>
                <c:pt idx="3">
                  <c:v>7</c:v>
                </c:pt>
              </c:numCache>
            </c:numRef>
          </c:val>
          <c:extLst>
            <c:ext xmlns:c16="http://schemas.microsoft.com/office/drawing/2014/chart" uri="{C3380CC4-5D6E-409C-BE32-E72D297353CC}">
              <c16:uniqueId val="{00000001-BB06-43C2-84D7-54237FE150AB}"/>
            </c:ext>
          </c:extLst>
        </c:ser>
        <c:dLbls>
          <c:showLegendKey val="0"/>
          <c:showVal val="0"/>
          <c:showCatName val="0"/>
          <c:showSerName val="0"/>
          <c:showPercent val="0"/>
          <c:showBubbleSize val="0"/>
        </c:dLbls>
        <c:gapWidth val="219"/>
        <c:overlap val="-27"/>
        <c:axId val="754017064"/>
        <c:axId val="754008784"/>
      </c:barChart>
      <c:catAx>
        <c:axId val="7540170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Age group</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008784"/>
        <c:crosses val="autoZero"/>
        <c:auto val="1"/>
        <c:lblAlgn val="ctr"/>
        <c:lblOffset val="100"/>
        <c:noMultiLvlLbl val="0"/>
      </c:catAx>
      <c:valAx>
        <c:axId val="7540087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initiating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4017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[nusinsersen review.xlsx]adults_overall!PivotTable6</c:name>
    <c:fmtId val="-1"/>
  </c:pivotSource>
  <c:chart>
    <c:autoTitleDeleted val="0"/>
    <c:pivotFmts>
      <c:pivotFmt>
        <c:idx val="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lineChart>
        <c:grouping val="standard"/>
        <c:varyColors val="0"/>
        <c:ser>
          <c:idx val="0"/>
          <c:order val="0"/>
          <c:tx>
            <c:strRef>
              <c:f>adults_overall!$N$1:$N$2</c:f>
              <c:strCache>
                <c:ptCount val="1"/>
                <c:pt idx="0">
                  <c:v>NUSINERSEN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adults_overall!$M$3:$M$13</c:f>
              <c:strCache>
                <c:ptCount val="10"/>
                <c:pt idx="0">
                  <c:v>2022Q3</c:v>
                </c:pt>
                <c:pt idx="1">
                  <c:v>2022Q4</c:v>
                </c:pt>
                <c:pt idx="2">
                  <c:v>2023Q1</c:v>
                </c:pt>
                <c:pt idx="3">
                  <c:v>2023Q2</c:v>
                </c:pt>
                <c:pt idx="4">
                  <c:v>2023Q3</c:v>
                </c:pt>
                <c:pt idx="5">
                  <c:v>2023Q4</c:v>
                </c:pt>
                <c:pt idx="6">
                  <c:v>2024Q1</c:v>
                </c:pt>
                <c:pt idx="7">
                  <c:v>2024Q2</c:v>
                </c:pt>
                <c:pt idx="8">
                  <c:v>2024Q3</c:v>
                </c:pt>
                <c:pt idx="9">
                  <c:v>2024Q4</c:v>
                </c:pt>
              </c:strCache>
            </c:strRef>
          </c:cat>
          <c:val>
            <c:numRef>
              <c:f>adults_overall!$N$3:$N$13</c:f>
              <c:numCache>
                <c:formatCode>General</c:formatCode>
                <c:ptCount val="10"/>
                <c:pt idx="0">
                  <c:v>19</c:v>
                </c:pt>
                <c:pt idx="1">
                  <c:v>50</c:v>
                </c:pt>
                <c:pt idx="2">
                  <c:v>60</c:v>
                </c:pt>
                <c:pt idx="3">
                  <c:v>54</c:v>
                </c:pt>
                <c:pt idx="4">
                  <c:v>62</c:v>
                </c:pt>
                <c:pt idx="5">
                  <c:v>60</c:v>
                </c:pt>
                <c:pt idx="6">
                  <c:v>49</c:v>
                </c:pt>
                <c:pt idx="7">
                  <c:v>50</c:v>
                </c:pt>
                <c:pt idx="8">
                  <c:v>58</c:v>
                </c:pt>
                <c:pt idx="9">
                  <c:v>52</c:v>
                </c:pt>
              </c:numCache>
            </c:numRef>
          </c:val>
          <c:smooth val="0"/>
          <c:extLst>
            <c:ext xmlns:c16="http://schemas.microsoft.com/office/drawing/2014/chart" uri="{C3380CC4-5D6E-409C-BE32-E72D297353CC}">
              <c16:uniqueId val="{00000000-0EE1-43ED-8636-F40D303FB9D7}"/>
            </c:ext>
          </c:extLst>
        </c:ser>
        <c:ser>
          <c:idx val="1"/>
          <c:order val="1"/>
          <c:tx>
            <c:strRef>
              <c:f>adults_overall!$O$1:$O$2</c:f>
              <c:strCache>
                <c:ptCount val="1"/>
                <c:pt idx="0">
                  <c:v>RISDIPLAM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adults_overall!$M$3:$M$13</c:f>
              <c:strCache>
                <c:ptCount val="10"/>
                <c:pt idx="0">
                  <c:v>2022Q3</c:v>
                </c:pt>
                <c:pt idx="1">
                  <c:v>2022Q4</c:v>
                </c:pt>
                <c:pt idx="2">
                  <c:v>2023Q1</c:v>
                </c:pt>
                <c:pt idx="3">
                  <c:v>2023Q2</c:v>
                </c:pt>
                <c:pt idx="4">
                  <c:v>2023Q3</c:v>
                </c:pt>
                <c:pt idx="5">
                  <c:v>2023Q4</c:v>
                </c:pt>
                <c:pt idx="6">
                  <c:v>2024Q1</c:v>
                </c:pt>
                <c:pt idx="7">
                  <c:v>2024Q2</c:v>
                </c:pt>
                <c:pt idx="8">
                  <c:v>2024Q3</c:v>
                </c:pt>
                <c:pt idx="9">
                  <c:v>2024Q4</c:v>
                </c:pt>
              </c:strCache>
            </c:strRef>
          </c:cat>
          <c:val>
            <c:numRef>
              <c:f>adults_overall!$O$3:$O$13</c:f>
              <c:numCache>
                <c:formatCode>General</c:formatCode>
                <c:ptCount val="10"/>
                <c:pt idx="5">
                  <c:v>32</c:v>
                </c:pt>
                <c:pt idx="6">
                  <c:v>51</c:v>
                </c:pt>
                <c:pt idx="7">
                  <c:v>61</c:v>
                </c:pt>
                <c:pt idx="8">
                  <c:v>60</c:v>
                </c:pt>
                <c:pt idx="9">
                  <c:v>64</c:v>
                </c:pt>
              </c:numCache>
            </c:numRef>
          </c:val>
          <c:smooth val="0"/>
          <c:extLst>
            <c:ext xmlns:c16="http://schemas.microsoft.com/office/drawing/2014/chart" uri="{C3380CC4-5D6E-409C-BE32-E72D297353CC}">
              <c16:uniqueId val="{00000001-0EE1-43ED-8636-F40D303FB9D7}"/>
            </c:ext>
          </c:extLst>
        </c:ser>
        <c:dLbls>
          <c:showLegendKey val="0"/>
          <c:showVal val="0"/>
          <c:showCatName val="0"/>
          <c:showSerName val="0"/>
          <c:showPercent val="0"/>
          <c:showBubbleSize val="0"/>
        </c:dLbls>
        <c:marker val="1"/>
        <c:smooth val="0"/>
        <c:axId val="1138275760"/>
        <c:axId val="1138276120"/>
      </c:lineChart>
      <c:catAx>
        <c:axId val="1138275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Supply quarter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276120"/>
        <c:crosses val="autoZero"/>
        <c:auto val="1"/>
        <c:lblAlgn val="ctr"/>
        <c:lblOffset val="100"/>
        <c:noMultiLvlLbl val="0"/>
      </c:catAx>
      <c:valAx>
        <c:axId val="1138276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Patients treated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2757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4F82B-27DE-4369-A0C3-FBA3FE9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4285</Words>
  <Characters>23015</Characters>
  <Application>Microsoft Office Word</Application>
  <DocSecurity>0</DocSecurity>
  <Lines>523</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revision>1</cp:revision>
  <dcterms:created xsi:type="dcterms:W3CDTF">2025-12-01T21:35:00Z</dcterms:created>
  <dcterms:modified xsi:type="dcterms:W3CDTF">2025-12-01T21:35:00Z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31a4a9f7,414f2385,19852d27</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11408cf5,74d61e9d,231b78a5</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2025-12-01T21:35:30Z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e25e8615-4125-4e1d-b468-ac7d088173fd</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